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40D9" w14:textId="5475A92B" w:rsidR="0034541A" w:rsidRDefault="0034541A" w:rsidP="0034541A">
      <w:pPr>
        <w:shd w:val="clear" w:color="auto" w:fill="FFFFFF"/>
        <w:spacing w:after="0" w:line="240" w:lineRule="auto"/>
        <w:jc w:val="center"/>
        <w:rPr>
          <w:rFonts w:ascii="Play" w:eastAsia="Play" w:hAnsi="Play" w:cs="Play"/>
          <w:b/>
          <w:bCs/>
          <w:sz w:val="24"/>
          <w:szCs w:val="24"/>
        </w:rPr>
      </w:pPr>
      <w:r>
        <w:rPr>
          <w:noProof/>
        </w:rPr>
        <w:drawing>
          <wp:inline distT="0" distB="0" distL="0" distR="0" wp14:anchorId="40E7C178" wp14:editId="15F5F32F">
            <wp:extent cx="5400040" cy="1092200"/>
            <wp:effectExtent l="0" t="0" r="0" b="0"/>
            <wp:docPr id="449479275" name="Immagine 1"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79275" name="Immagine 1" descr="Immagine che contiene testo, Carattere, Elementi grafici, grafica&#10;&#10;Il contenuto generato dall'IA potrebbe non essere corretto."/>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1092200"/>
                    </a:xfrm>
                    <a:prstGeom prst="rect">
                      <a:avLst/>
                    </a:prstGeom>
                    <a:noFill/>
                    <a:ln>
                      <a:noFill/>
                    </a:ln>
                  </pic:spPr>
                </pic:pic>
              </a:graphicData>
            </a:graphic>
          </wp:inline>
        </w:drawing>
      </w:r>
    </w:p>
    <w:p w14:paraId="6540678B" w14:textId="77777777" w:rsidR="0034541A" w:rsidRDefault="0034541A">
      <w:pPr>
        <w:shd w:val="clear" w:color="auto" w:fill="FFFFFF"/>
        <w:spacing w:after="0" w:line="240" w:lineRule="auto"/>
        <w:jc w:val="both"/>
        <w:rPr>
          <w:rFonts w:ascii="Play" w:eastAsia="Play" w:hAnsi="Play" w:cs="Play"/>
          <w:b/>
          <w:bCs/>
          <w:sz w:val="24"/>
          <w:szCs w:val="24"/>
        </w:rPr>
      </w:pPr>
    </w:p>
    <w:p w14:paraId="0945BC3E" w14:textId="76E5B43C" w:rsidR="00001796" w:rsidRDefault="00000000">
      <w:pPr>
        <w:shd w:val="clear" w:color="auto" w:fill="FFFFFF"/>
        <w:spacing w:after="0" w:line="240" w:lineRule="auto"/>
        <w:jc w:val="both"/>
        <w:rPr>
          <w:rFonts w:ascii="Play" w:eastAsia="Play" w:hAnsi="Play" w:cs="Play"/>
          <w:b/>
          <w:bCs/>
          <w:sz w:val="24"/>
          <w:szCs w:val="24"/>
        </w:rPr>
      </w:pPr>
      <w:r>
        <w:rPr>
          <w:rFonts w:ascii="Play" w:eastAsia="Play" w:hAnsi="Play" w:cs="Play"/>
          <w:b/>
          <w:bCs/>
          <w:sz w:val="24"/>
          <w:szCs w:val="24"/>
        </w:rPr>
        <w:t>Call for Papers: Guest-edited Issue on Non-professional Translation and Interpreting in Conflict and War:</w:t>
      </w:r>
    </w:p>
    <w:p w14:paraId="53533D8F" w14:textId="77777777" w:rsidR="00001796" w:rsidRDefault="00000000">
      <w:pPr>
        <w:shd w:val="clear" w:color="auto" w:fill="FFFFFF"/>
        <w:spacing w:after="0" w:line="240" w:lineRule="auto"/>
        <w:jc w:val="both"/>
        <w:rPr>
          <w:rFonts w:ascii="Play" w:eastAsia="Play" w:hAnsi="Play" w:cs="Play"/>
          <w:i/>
          <w:iCs/>
          <w:sz w:val="24"/>
          <w:szCs w:val="24"/>
        </w:rPr>
      </w:pPr>
      <w:r>
        <w:rPr>
          <w:rFonts w:ascii="Play" w:eastAsia="Play" w:hAnsi="Play" w:cs="Play"/>
          <w:i/>
          <w:iCs/>
          <w:sz w:val="24"/>
          <w:szCs w:val="24"/>
        </w:rPr>
        <w:t xml:space="preserve">Power, Ideology, and Political Agency </w:t>
      </w:r>
    </w:p>
    <w:p w14:paraId="3B6D8924" w14:textId="77777777" w:rsidR="00001796" w:rsidRDefault="00001796">
      <w:pPr>
        <w:shd w:val="clear" w:color="auto" w:fill="FFFFFF"/>
        <w:spacing w:after="0" w:line="240" w:lineRule="auto"/>
        <w:jc w:val="both"/>
        <w:rPr>
          <w:rFonts w:ascii="Play" w:eastAsia="Play" w:hAnsi="Play" w:cs="Play"/>
          <w:i/>
          <w:iCs/>
          <w:sz w:val="24"/>
          <w:szCs w:val="24"/>
        </w:rPr>
      </w:pPr>
    </w:p>
    <w:p w14:paraId="7432FD05" w14:textId="77777777" w:rsidR="00001796" w:rsidRDefault="00000000">
      <w:pPr>
        <w:shd w:val="clear" w:color="auto" w:fill="FFFFFF"/>
        <w:spacing w:after="0" w:line="240" w:lineRule="auto"/>
        <w:jc w:val="both"/>
        <w:rPr>
          <w:rFonts w:ascii="Play" w:eastAsia="Play" w:hAnsi="Play" w:cs="Play"/>
          <w:sz w:val="24"/>
          <w:szCs w:val="24"/>
        </w:rPr>
      </w:pPr>
      <w:bookmarkStart w:id="0" w:name="_heading=h.20myo753khod" w:colFirst="0" w:colLast="0"/>
      <w:bookmarkEnd w:id="0"/>
      <w:r>
        <w:rPr>
          <w:rFonts w:ascii="Play" w:eastAsia="Play" w:hAnsi="Play" w:cs="Play"/>
          <w:sz w:val="24"/>
          <w:szCs w:val="24"/>
        </w:rPr>
        <w:t>Guest-edited issue of the new Journal of Non-Professional Interpreting and Translation (JoNPIT) by Ahmad Ayyad (Binghamton University, USA) and Rachele Antonini (University of Bologna, Italy)</w:t>
      </w:r>
    </w:p>
    <w:p w14:paraId="6321ABF0" w14:textId="77777777" w:rsidR="00001796" w:rsidRDefault="00001796">
      <w:pPr>
        <w:shd w:val="clear" w:color="auto" w:fill="FFFFFF"/>
        <w:spacing w:after="0" w:line="240" w:lineRule="auto"/>
        <w:jc w:val="both"/>
        <w:rPr>
          <w:rFonts w:ascii="Play" w:eastAsia="Play" w:hAnsi="Play" w:cs="Play"/>
          <w:sz w:val="24"/>
          <w:szCs w:val="24"/>
        </w:rPr>
      </w:pPr>
      <w:bookmarkStart w:id="1" w:name="_heading=h.2oyojwypzxb7" w:colFirst="0" w:colLast="0"/>
      <w:bookmarkEnd w:id="1"/>
    </w:p>
    <w:p w14:paraId="1DCE1199" w14:textId="77777777" w:rsidR="00001796" w:rsidRDefault="00001796">
      <w:pPr>
        <w:spacing w:after="0" w:line="240" w:lineRule="auto"/>
        <w:jc w:val="both"/>
        <w:rPr>
          <w:rFonts w:ascii="Play" w:eastAsia="Play" w:hAnsi="Play" w:cs="Play"/>
          <w:sz w:val="24"/>
          <w:szCs w:val="24"/>
        </w:rPr>
      </w:pPr>
    </w:p>
    <w:p w14:paraId="0585D448" w14:textId="77777777" w:rsidR="00001796" w:rsidRDefault="00000000">
      <w:pPr>
        <w:spacing w:after="0" w:line="240" w:lineRule="auto"/>
        <w:jc w:val="both"/>
        <w:rPr>
          <w:rFonts w:ascii="Play" w:eastAsia="Play" w:hAnsi="Play" w:cs="Play"/>
          <w:sz w:val="24"/>
          <w:szCs w:val="24"/>
        </w:rPr>
      </w:pPr>
      <w:r>
        <w:rPr>
          <w:rFonts w:ascii="Play" w:eastAsia="Play" w:hAnsi="Play" w:cs="Play"/>
          <w:sz w:val="24"/>
          <w:szCs w:val="24"/>
        </w:rPr>
        <w:t>Non-professional translation and interpreting has received increasing attention as an independent area of inquiry within Translation Studies over the past decade (e.g. Susam-Saraeva and Pérez-González 2012; Martínez-Gómez 2015; Antonini et al. 2017; Grbić and Kujamäki 2018; Angelelli 2019; Monzó-Nebot and Wallace 2020). This growing body of research has highlighted the crucial contributions of individuals who translate or interpret outside formal, institutional, or professional frameworks. Non-professional translation and interpreting practices have been examined across a wide range of contexts, including media (e.g. Antonini and Bucaria 2016), public services (e.g. Baraldi and Gavioli 2017; Pöllabauer 2017), healthcare (e.g. Aguilar-Solano 2015; Ticca 2017), humanitarian settings (e.g. Doğan and Kahraman 2011; Rogl 2017), child interpreting (e.g. Antonini 2010; Katz 2014), and migration (e.g. Angelelli 2015; Rossato 2017).</w:t>
      </w:r>
    </w:p>
    <w:p w14:paraId="7A2D7C62" w14:textId="77777777" w:rsidR="00001796" w:rsidRDefault="00001796">
      <w:pPr>
        <w:spacing w:after="0" w:line="240" w:lineRule="auto"/>
        <w:jc w:val="both"/>
        <w:rPr>
          <w:rFonts w:ascii="Play" w:eastAsia="Play" w:hAnsi="Play" w:cs="Play"/>
          <w:sz w:val="24"/>
          <w:szCs w:val="24"/>
        </w:rPr>
      </w:pPr>
    </w:p>
    <w:p w14:paraId="3E09BE94" w14:textId="77777777" w:rsidR="00001796" w:rsidRDefault="00000000">
      <w:pPr>
        <w:spacing w:after="0" w:line="240" w:lineRule="auto"/>
        <w:jc w:val="both"/>
        <w:rPr>
          <w:rFonts w:ascii="Play" w:eastAsia="Play" w:hAnsi="Play" w:cs="Play"/>
          <w:sz w:val="24"/>
          <w:szCs w:val="24"/>
        </w:rPr>
      </w:pPr>
      <w:r>
        <w:rPr>
          <w:rFonts w:ascii="Play" w:eastAsia="Play" w:hAnsi="Play" w:cs="Play"/>
          <w:sz w:val="24"/>
          <w:szCs w:val="24"/>
        </w:rPr>
        <w:t>Despite this expanding literature, non-professional translation and interpreting in contexts of conflict and war remain largely underexamined, with only a limited number of notable exceptions (e.g. Palmer 2007; Baker 2010; Wolf 2016). This gap is particularly significant given the central role these individuals often play in such settings—not as neutral intermediaries compensating for the absence of trained professionals, but as active agents who shape, circulate, and contest narratives of conflict and war within asymmetrical power relations. These actors may include politicians, journalists, academics, humanitarian workers, activists, or community members who bring their own ideological and political positionalities to the task. Whether translating political documents, mediating negotiations, relaying testimonies, or reporting on conflicts and wars, they make choices that can construct, reinforce, or challenge dominant narratives. Far from neutral conduits, they act as political agents whose interventions, consciously or unconsciously, influence both immediate developments on the ground and the longer-term historical record of conflict.</w:t>
      </w:r>
    </w:p>
    <w:p w14:paraId="16E0FABA" w14:textId="77777777" w:rsidR="00001796" w:rsidRDefault="00001796">
      <w:pPr>
        <w:spacing w:after="0" w:line="240" w:lineRule="auto"/>
        <w:jc w:val="both"/>
        <w:rPr>
          <w:sz w:val="24"/>
          <w:szCs w:val="24"/>
        </w:rPr>
      </w:pPr>
    </w:p>
    <w:p w14:paraId="4FFF6592" w14:textId="77777777" w:rsidR="00001796" w:rsidRDefault="00000000">
      <w:pPr>
        <w:spacing w:after="0" w:line="240" w:lineRule="auto"/>
        <w:jc w:val="both"/>
        <w:rPr>
          <w:rFonts w:ascii="Play" w:eastAsia="Play" w:hAnsi="Play" w:cs="Play"/>
          <w:sz w:val="24"/>
          <w:szCs w:val="24"/>
        </w:rPr>
      </w:pPr>
      <w:r>
        <w:rPr>
          <w:rFonts w:ascii="Play" w:eastAsia="Play" w:hAnsi="Play" w:cs="Play"/>
          <w:sz w:val="24"/>
          <w:szCs w:val="24"/>
        </w:rPr>
        <w:t xml:space="preserve">This special issue of </w:t>
      </w:r>
      <w:r>
        <w:rPr>
          <w:rFonts w:ascii="Play" w:eastAsia="Play" w:hAnsi="Play" w:cs="Play"/>
          <w:i/>
          <w:iCs/>
          <w:sz w:val="24"/>
          <w:szCs w:val="24"/>
        </w:rPr>
        <w:t>JoNPIT</w:t>
      </w:r>
      <w:r>
        <w:rPr>
          <w:rFonts w:ascii="Play" w:eastAsia="Play" w:hAnsi="Play" w:cs="Play"/>
          <w:sz w:val="24"/>
          <w:szCs w:val="24"/>
        </w:rPr>
        <w:t xml:space="preserve"> addresses this critical gap by foregrounding Non-professional translation and interpreting practices in contexts of conflict and war—settings in which linguistic mediation is frequently carried out by refugees, volunteers, </w:t>
      </w:r>
      <w:r>
        <w:rPr>
          <w:rFonts w:ascii="Play" w:eastAsia="Play" w:hAnsi="Play" w:cs="Play"/>
          <w:sz w:val="24"/>
          <w:szCs w:val="24"/>
        </w:rPr>
        <w:lastRenderedPageBreak/>
        <w:t>activists, journalists, and other untrained or informally trained agents operating under conditions of heightened risk and asymmetrical power relations. While Translation Studies has increasingly recognized non-professional agents, their roles in armed conflict remain under-theorized, particularly with regard to political agency, ethical responsibility, and exposure to danger.</w:t>
      </w:r>
    </w:p>
    <w:p w14:paraId="13E86E21" w14:textId="77777777" w:rsidR="00001796" w:rsidRDefault="00001796">
      <w:pPr>
        <w:spacing w:after="0" w:line="240" w:lineRule="auto"/>
        <w:jc w:val="both"/>
        <w:rPr>
          <w:rFonts w:ascii="Play" w:eastAsia="Play" w:hAnsi="Play" w:cs="Play"/>
          <w:sz w:val="24"/>
          <w:szCs w:val="24"/>
        </w:rPr>
      </w:pPr>
    </w:p>
    <w:p w14:paraId="56D5A487" w14:textId="77777777" w:rsidR="00001796" w:rsidRDefault="00000000">
      <w:pPr>
        <w:spacing w:after="0" w:line="240" w:lineRule="auto"/>
        <w:jc w:val="both"/>
        <w:rPr>
          <w:rFonts w:ascii="Play" w:eastAsia="Play" w:hAnsi="Play" w:cs="Play"/>
          <w:sz w:val="24"/>
          <w:szCs w:val="24"/>
        </w:rPr>
      </w:pPr>
      <w:r>
        <w:rPr>
          <w:rFonts w:ascii="Play" w:eastAsia="Play" w:hAnsi="Play" w:cs="Play"/>
          <w:sz w:val="24"/>
          <w:szCs w:val="24"/>
        </w:rPr>
        <w:t>In conflict and war, non-professional translators and interpreters operate in circumstances that differ fundamentally from institutional or professional environments. The boundaries between mediation, advocacy, testimony, and survival are often blurred, challenging conventional distinctions between “professional” and “non-professional” practice. Translation and interpreting in these contexts function not merely as acts of transfer, but as interventions embedded in struggles over meaning, legitimacy, visibility, and authority.</w:t>
      </w:r>
    </w:p>
    <w:p w14:paraId="5D15C641" w14:textId="77777777" w:rsidR="00001796" w:rsidRDefault="00001796">
      <w:pPr>
        <w:spacing w:after="0" w:line="240" w:lineRule="auto"/>
        <w:jc w:val="both"/>
        <w:rPr>
          <w:rFonts w:ascii="Play" w:eastAsia="Play" w:hAnsi="Play" w:cs="Play"/>
          <w:sz w:val="24"/>
          <w:szCs w:val="24"/>
        </w:rPr>
      </w:pPr>
    </w:p>
    <w:p w14:paraId="27638514" w14:textId="77777777" w:rsidR="00001796" w:rsidRDefault="00000000">
      <w:pPr>
        <w:spacing w:after="0" w:line="240" w:lineRule="auto"/>
        <w:jc w:val="both"/>
        <w:rPr>
          <w:rFonts w:ascii="Play" w:eastAsia="Play" w:hAnsi="Play" w:cs="Play"/>
          <w:sz w:val="24"/>
          <w:szCs w:val="24"/>
        </w:rPr>
      </w:pPr>
      <w:r>
        <w:rPr>
          <w:rFonts w:ascii="Play" w:eastAsia="Play" w:hAnsi="Play" w:cs="Play"/>
          <w:sz w:val="24"/>
          <w:szCs w:val="24"/>
        </w:rPr>
        <w:t>By centering the agency and positionality of non-professional language mediators, this special issue seeks to stimulate critical reflection on the ethical, political, and practical dimensions of non-professional translation and interpreting in conflict and war, and to position Non-professional translation and interpreting as a key site for understanding how language practices shape contested political realities.</w:t>
      </w:r>
    </w:p>
    <w:p w14:paraId="2FF52576" w14:textId="77777777" w:rsidR="00001796" w:rsidRDefault="00001796">
      <w:pPr>
        <w:pBdr>
          <w:top w:val="nil"/>
          <w:left w:val="nil"/>
          <w:bottom w:val="nil"/>
          <w:right w:val="nil"/>
          <w:between w:val="nil"/>
        </w:pBdr>
        <w:tabs>
          <w:tab w:val="left" w:pos="2217"/>
        </w:tabs>
        <w:spacing w:after="0" w:line="240" w:lineRule="auto"/>
        <w:jc w:val="both"/>
        <w:rPr>
          <w:rFonts w:ascii="Times New Roman" w:eastAsia="Times New Roman" w:hAnsi="Times New Roman" w:cs="Times New Roman"/>
          <w:color w:val="000000"/>
          <w:sz w:val="24"/>
          <w:szCs w:val="24"/>
        </w:rPr>
      </w:pPr>
    </w:p>
    <w:p w14:paraId="6AAAE77F" w14:textId="77777777" w:rsidR="00001796" w:rsidRDefault="00000000">
      <w:pPr>
        <w:pBdr>
          <w:top w:val="nil"/>
          <w:left w:val="nil"/>
          <w:bottom w:val="nil"/>
          <w:right w:val="nil"/>
          <w:between w:val="nil"/>
        </w:pBdr>
        <w:spacing w:after="0" w:line="240" w:lineRule="auto"/>
        <w:jc w:val="both"/>
        <w:rPr>
          <w:rFonts w:ascii="Play" w:eastAsia="Play" w:hAnsi="Play" w:cs="Play"/>
          <w:color w:val="000000"/>
          <w:sz w:val="24"/>
          <w:szCs w:val="24"/>
        </w:rPr>
      </w:pPr>
      <w:r>
        <w:rPr>
          <w:rFonts w:ascii="Play" w:eastAsia="Play" w:hAnsi="Play" w:cs="Play"/>
          <w:color w:val="000000"/>
          <w:sz w:val="24"/>
          <w:szCs w:val="24"/>
        </w:rPr>
        <w:t>For this special issue, we invite contributions that address a broad range of topics, including but not limited to:</w:t>
      </w:r>
    </w:p>
    <w:p w14:paraId="397FE5DA" w14:textId="77777777" w:rsidR="00001796" w:rsidRDefault="00000000">
      <w:pPr>
        <w:numPr>
          <w:ilvl w:val="0"/>
          <w:numId w:val="2"/>
        </w:numPr>
        <w:pBdr>
          <w:top w:val="nil"/>
          <w:left w:val="nil"/>
          <w:bottom w:val="nil"/>
          <w:right w:val="nil"/>
          <w:between w:val="nil"/>
        </w:pBdr>
        <w:spacing w:after="0" w:line="240" w:lineRule="auto"/>
        <w:jc w:val="both"/>
        <w:rPr>
          <w:rFonts w:ascii="Play" w:eastAsia="Play" w:hAnsi="Play" w:cs="Play"/>
          <w:color w:val="000000"/>
          <w:sz w:val="24"/>
          <w:szCs w:val="24"/>
        </w:rPr>
      </w:pPr>
      <w:r>
        <w:rPr>
          <w:rFonts w:ascii="Play" w:eastAsia="Play" w:hAnsi="Play" w:cs="Play"/>
          <w:color w:val="000000"/>
          <w:sz w:val="24"/>
          <w:szCs w:val="24"/>
        </w:rPr>
        <w:t>The identities, positionalities, and roles of non-professional translators and interpreters in recent or ongoing conflicts and wars, with empirical examples from Palestine, Ukraine, Sudan, Syria, Myanmar, and Latin America;</w:t>
      </w:r>
    </w:p>
    <w:p w14:paraId="7AA1B98D" w14:textId="77777777" w:rsidR="00001796" w:rsidRDefault="00000000">
      <w:pPr>
        <w:numPr>
          <w:ilvl w:val="0"/>
          <w:numId w:val="2"/>
        </w:numPr>
        <w:pBdr>
          <w:top w:val="nil"/>
          <w:left w:val="nil"/>
          <w:bottom w:val="nil"/>
          <w:right w:val="nil"/>
          <w:between w:val="nil"/>
        </w:pBdr>
        <w:spacing w:after="0" w:line="240" w:lineRule="auto"/>
        <w:jc w:val="both"/>
        <w:rPr>
          <w:rFonts w:ascii="Play" w:eastAsia="Play" w:hAnsi="Play" w:cs="Play"/>
          <w:color w:val="000000"/>
          <w:sz w:val="24"/>
          <w:szCs w:val="24"/>
        </w:rPr>
      </w:pPr>
      <w:r>
        <w:rPr>
          <w:rFonts w:ascii="Play" w:eastAsia="Play" w:hAnsi="Play" w:cs="Play"/>
          <w:color w:val="000000"/>
          <w:sz w:val="24"/>
          <w:szCs w:val="24"/>
        </w:rPr>
        <w:t>The role of non-professional translators and interpreters in constructing, framing, contesting, or legitimating dominant and counter-narratives of conflict and war;</w:t>
      </w:r>
    </w:p>
    <w:p w14:paraId="295862DD" w14:textId="77777777" w:rsidR="00001796" w:rsidRDefault="00000000">
      <w:pPr>
        <w:numPr>
          <w:ilvl w:val="0"/>
          <w:numId w:val="2"/>
        </w:numPr>
        <w:pBdr>
          <w:top w:val="nil"/>
          <w:left w:val="nil"/>
          <w:bottom w:val="nil"/>
          <w:right w:val="nil"/>
          <w:between w:val="nil"/>
        </w:pBdr>
        <w:spacing w:after="0" w:line="240" w:lineRule="auto"/>
        <w:jc w:val="both"/>
        <w:rPr>
          <w:rFonts w:ascii="Play" w:eastAsia="Play" w:hAnsi="Play" w:cs="Play"/>
          <w:color w:val="000000"/>
          <w:sz w:val="24"/>
          <w:szCs w:val="24"/>
        </w:rPr>
      </w:pPr>
      <w:r>
        <w:rPr>
          <w:rFonts w:ascii="Play" w:eastAsia="Play" w:hAnsi="Play" w:cs="Play"/>
          <w:color w:val="000000"/>
          <w:sz w:val="24"/>
          <w:szCs w:val="24"/>
        </w:rPr>
        <w:t>Questions of neutrality, ethics, trust, risk, and positionality in non-professional translation and interpreting practices in conflict and war;</w:t>
      </w:r>
    </w:p>
    <w:p w14:paraId="3ED58FE0" w14:textId="77777777" w:rsidR="00001796" w:rsidRDefault="00000000">
      <w:pPr>
        <w:numPr>
          <w:ilvl w:val="0"/>
          <w:numId w:val="2"/>
        </w:numPr>
        <w:pBdr>
          <w:top w:val="nil"/>
          <w:left w:val="nil"/>
          <w:bottom w:val="nil"/>
          <w:right w:val="nil"/>
          <w:between w:val="nil"/>
        </w:pBdr>
        <w:spacing w:after="0" w:line="240" w:lineRule="auto"/>
        <w:jc w:val="both"/>
        <w:rPr>
          <w:rFonts w:ascii="Play" w:eastAsia="Play" w:hAnsi="Play" w:cs="Play"/>
          <w:color w:val="000000"/>
          <w:sz w:val="24"/>
          <w:szCs w:val="24"/>
        </w:rPr>
      </w:pPr>
      <w:r>
        <w:rPr>
          <w:rFonts w:ascii="Play" w:eastAsia="Play" w:hAnsi="Play" w:cs="Play"/>
          <w:color w:val="000000"/>
          <w:sz w:val="24"/>
          <w:szCs w:val="24"/>
        </w:rPr>
        <w:t>The use of AI-based tools, machine translation, and emerging technologies in non-professional translation and interpreting in conflict and war contexts;</w:t>
      </w:r>
    </w:p>
    <w:p w14:paraId="21FD6B2E" w14:textId="77777777" w:rsidR="00001796" w:rsidRDefault="00000000">
      <w:pPr>
        <w:numPr>
          <w:ilvl w:val="0"/>
          <w:numId w:val="2"/>
        </w:numPr>
        <w:pBdr>
          <w:top w:val="nil"/>
          <w:left w:val="nil"/>
          <w:bottom w:val="nil"/>
          <w:right w:val="nil"/>
          <w:between w:val="nil"/>
        </w:pBdr>
        <w:spacing w:after="0" w:line="240" w:lineRule="auto"/>
        <w:jc w:val="both"/>
        <w:rPr>
          <w:rFonts w:ascii="Play" w:eastAsia="Play" w:hAnsi="Play" w:cs="Play"/>
          <w:color w:val="000000"/>
          <w:sz w:val="24"/>
          <w:szCs w:val="24"/>
        </w:rPr>
      </w:pPr>
      <w:r>
        <w:rPr>
          <w:rFonts w:ascii="Play" w:eastAsia="Play" w:hAnsi="Play" w:cs="Play"/>
          <w:color w:val="000000"/>
          <w:sz w:val="24"/>
          <w:szCs w:val="24"/>
        </w:rPr>
        <w:t>Crowdsourced, volunteer, and community-based translation and interpreting initiatives in contexts of conflict and war, including humanitarian crises, conflict reporting, and refugee support;</w:t>
      </w:r>
    </w:p>
    <w:p w14:paraId="12057F48" w14:textId="77777777" w:rsidR="00001796" w:rsidRDefault="00000000">
      <w:pPr>
        <w:numPr>
          <w:ilvl w:val="0"/>
          <w:numId w:val="2"/>
        </w:numPr>
        <w:pBdr>
          <w:top w:val="nil"/>
          <w:left w:val="nil"/>
          <w:bottom w:val="nil"/>
          <w:right w:val="nil"/>
          <w:between w:val="nil"/>
        </w:pBdr>
        <w:spacing w:after="0" w:line="240" w:lineRule="auto"/>
        <w:jc w:val="both"/>
        <w:rPr>
          <w:rFonts w:ascii="Play" w:eastAsia="Play" w:hAnsi="Play" w:cs="Play"/>
          <w:color w:val="000000"/>
          <w:sz w:val="24"/>
          <w:szCs w:val="24"/>
        </w:rPr>
      </w:pPr>
      <w:r>
        <w:rPr>
          <w:rFonts w:ascii="Play" w:eastAsia="Play" w:hAnsi="Play" w:cs="Play"/>
          <w:color w:val="000000"/>
          <w:sz w:val="24"/>
          <w:szCs w:val="24"/>
        </w:rPr>
        <w:t>Empirical case studies and critical accounts of non-professional translation and interpreting practices in conflict and war;</w:t>
      </w:r>
    </w:p>
    <w:p w14:paraId="77F0B024" w14:textId="77777777" w:rsidR="00001796" w:rsidRDefault="00000000">
      <w:pPr>
        <w:numPr>
          <w:ilvl w:val="0"/>
          <w:numId w:val="2"/>
        </w:numPr>
        <w:pBdr>
          <w:top w:val="nil"/>
          <w:left w:val="nil"/>
          <w:bottom w:val="nil"/>
          <w:right w:val="nil"/>
          <w:between w:val="nil"/>
        </w:pBdr>
        <w:spacing w:after="0" w:line="240" w:lineRule="auto"/>
        <w:jc w:val="both"/>
        <w:rPr>
          <w:rFonts w:ascii="Play" w:eastAsia="Play" w:hAnsi="Play" w:cs="Play"/>
          <w:color w:val="000000"/>
          <w:sz w:val="24"/>
          <w:szCs w:val="24"/>
        </w:rPr>
      </w:pPr>
      <w:r>
        <w:rPr>
          <w:rFonts w:ascii="Play" w:eastAsia="Play" w:hAnsi="Play" w:cs="Play"/>
          <w:color w:val="000000"/>
          <w:sz w:val="24"/>
          <w:szCs w:val="24"/>
        </w:rPr>
        <w:t>Translation and interpreting as forms of political intervention, resistance, or propaganda in conflict and war;</w:t>
      </w:r>
    </w:p>
    <w:p w14:paraId="67A23DC0" w14:textId="77777777" w:rsidR="00001796" w:rsidRDefault="00000000">
      <w:pPr>
        <w:numPr>
          <w:ilvl w:val="0"/>
          <w:numId w:val="2"/>
        </w:numPr>
        <w:pBdr>
          <w:top w:val="nil"/>
          <w:left w:val="nil"/>
          <w:bottom w:val="nil"/>
          <w:right w:val="nil"/>
          <w:between w:val="nil"/>
        </w:pBdr>
        <w:spacing w:after="0" w:line="240" w:lineRule="auto"/>
        <w:jc w:val="both"/>
        <w:rPr>
          <w:rFonts w:ascii="Play" w:eastAsia="Play" w:hAnsi="Play" w:cs="Play"/>
          <w:color w:val="000000"/>
          <w:sz w:val="24"/>
          <w:szCs w:val="24"/>
        </w:rPr>
      </w:pPr>
      <w:r>
        <w:rPr>
          <w:rFonts w:ascii="Play" w:eastAsia="Play" w:hAnsi="Play" w:cs="Play"/>
          <w:color w:val="000000"/>
          <w:sz w:val="24"/>
          <w:szCs w:val="24"/>
        </w:rPr>
        <w:t>Theoretical and methodological reflections on studying non-professional translation and interpreting in contexts of conflict and war.</w:t>
      </w:r>
    </w:p>
    <w:p w14:paraId="5627E583" w14:textId="77777777" w:rsidR="00001796" w:rsidRDefault="0000179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9CA89B" w14:textId="77777777" w:rsidR="00001796" w:rsidRDefault="00000000">
      <w:pPr>
        <w:shd w:val="clear" w:color="auto" w:fill="FFFFFF"/>
        <w:spacing w:after="96"/>
        <w:rPr>
          <w:rFonts w:ascii="Play" w:eastAsia="Play" w:hAnsi="Play" w:cs="Play"/>
          <w:color w:val="111111"/>
          <w:sz w:val="24"/>
          <w:szCs w:val="24"/>
        </w:rPr>
      </w:pPr>
      <w:bookmarkStart w:id="2" w:name="_heading=h.acd7oyltjfrv" w:colFirst="0" w:colLast="0"/>
      <w:bookmarkEnd w:id="2"/>
      <w:r>
        <w:rPr>
          <w:b/>
          <w:bCs/>
          <w:color w:val="111111"/>
          <w:sz w:val="24"/>
          <w:szCs w:val="24"/>
        </w:rPr>
        <w:t xml:space="preserve">    </w:t>
      </w:r>
      <w:r>
        <w:rPr>
          <w:rFonts w:ascii="Play" w:eastAsia="Play" w:hAnsi="Play" w:cs="Play"/>
          <w:b/>
          <w:bCs/>
          <w:color w:val="111111"/>
          <w:sz w:val="24"/>
          <w:szCs w:val="24"/>
        </w:rPr>
        <w:t xml:space="preserve">Submission Timeline </w:t>
      </w:r>
    </w:p>
    <w:tbl>
      <w:tblPr>
        <w:tblStyle w:val="a"/>
        <w:tblW w:w="13158" w:type="dxa"/>
        <w:tblBorders>
          <w:top w:val="single" w:sz="6" w:space="0" w:color="DDDDDD"/>
          <w:left w:val="single" w:sz="6" w:space="0" w:color="DDDDDD"/>
          <w:bottom w:val="single" w:sz="6" w:space="0" w:color="DDDDDD"/>
          <w:right w:val="single" w:sz="6" w:space="0" w:color="DDDDDD"/>
        </w:tblBorders>
        <w:tblLayout w:type="fixed"/>
        <w:tblLook w:val="0400" w:firstRow="0" w:lastRow="0" w:firstColumn="0" w:lastColumn="0" w:noHBand="0" w:noVBand="1"/>
      </w:tblPr>
      <w:tblGrid>
        <w:gridCol w:w="6579"/>
        <w:gridCol w:w="6579"/>
      </w:tblGrid>
      <w:tr w:rsidR="00001796" w14:paraId="7D688F67" w14:textId="77777777">
        <w:tc>
          <w:tcPr>
            <w:tcW w:w="6579" w:type="dxa"/>
            <w:tcBorders>
              <w:top w:val="single" w:sz="6" w:space="0" w:color="DDDDDD"/>
              <w:left w:val="nil"/>
              <w:bottom w:val="nil"/>
              <w:right w:val="nil"/>
            </w:tcBorders>
            <w:tcMar>
              <w:top w:w="48" w:type="dxa"/>
              <w:left w:w="240" w:type="dxa"/>
              <w:bottom w:w="48" w:type="dxa"/>
              <w:right w:w="240" w:type="dxa"/>
            </w:tcMar>
            <w:vAlign w:val="bottom"/>
          </w:tcPr>
          <w:p w14:paraId="3BFD303B" w14:textId="77777777" w:rsidR="00001796" w:rsidRDefault="00000000">
            <w:pPr>
              <w:spacing w:after="0" w:line="240" w:lineRule="auto"/>
              <w:rPr>
                <w:rFonts w:ascii="Play" w:eastAsia="Play" w:hAnsi="Play" w:cs="Play"/>
                <w:sz w:val="24"/>
                <w:szCs w:val="24"/>
              </w:rPr>
            </w:pPr>
            <w:r>
              <w:rPr>
                <w:rFonts w:ascii="Play" w:eastAsia="Play" w:hAnsi="Play" w:cs="Play"/>
                <w:sz w:val="24"/>
                <w:szCs w:val="24"/>
              </w:rPr>
              <w:t>Abstracts (400-500) words due to guest editors</w:t>
            </w:r>
          </w:p>
        </w:tc>
        <w:tc>
          <w:tcPr>
            <w:tcW w:w="6579" w:type="dxa"/>
            <w:tcBorders>
              <w:top w:val="single" w:sz="6" w:space="0" w:color="DDDDDD"/>
              <w:left w:val="nil"/>
              <w:bottom w:val="nil"/>
              <w:right w:val="nil"/>
            </w:tcBorders>
            <w:tcMar>
              <w:top w:w="48" w:type="dxa"/>
              <w:left w:w="240" w:type="dxa"/>
              <w:bottom w:w="48" w:type="dxa"/>
              <w:right w:w="240" w:type="dxa"/>
            </w:tcMar>
            <w:vAlign w:val="bottom"/>
          </w:tcPr>
          <w:p w14:paraId="7B300CD0" w14:textId="77777777" w:rsidR="00001796" w:rsidRDefault="00000000">
            <w:pPr>
              <w:spacing w:after="0" w:line="240" w:lineRule="auto"/>
              <w:rPr>
                <w:rFonts w:ascii="Play" w:eastAsia="Play" w:hAnsi="Play" w:cs="Play"/>
                <w:sz w:val="24"/>
                <w:szCs w:val="24"/>
              </w:rPr>
            </w:pPr>
            <w:r>
              <w:rPr>
                <w:rFonts w:ascii="Play" w:eastAsia="Play" w:hAnsi="Play" w:cs="Play"/>
                <w:sz w:val="24"/>
                <w:szCs w:val="24"/>
              </w:rPr>
              <w:t xml:space="preserve">June 15, 2026 </w:t>
            </w:r>
          </w:p>
        </w:tc>
      </w:tr>
      <w:tr w:rsidR="00001796" w14:paraId="488640DF" w14:textId="77777777">
        <w:tc>
          <w:tcPr>
            <w:tcW w:w="6579" w:type="dxa"/>
            <w:tcBorders>
              <w:top w:val="single" w:sz="6" w:space="0" w:color="DDDDDD"/>
              <w:left w:val="nil"/>
              <w:bottom w:val="nil"/>
              <w:right w:val="nil"/>
            </w:tcBorders>
            <w:tcMar>
              <w:top w:w="48" w:type="dxa"/>
              <w:left w:w="240" w:type="dxa"/>
              <w:bottom w:w="48" w:type="dxa"/>
              <w:right w:w="240" w:type="dxa"/>
            </w:tcMar>
            <w:vAlign w:val="bottom"/>
          </w:tcPr>
          <w:p w14:paraId="2F526EC3" w14:textId="77777777" w:rsidR="00001796" w:rsidRDefault="00000000">
            <w:pPr>
              <w:spacing w:after="0" w:line="240" w:lineRule="auto"/>
              <w:rPr>
                <w:rFonts w:ascii="Play" w:eastAsia="Play" w:hAnsi="Play" w:cs="Play"/>
                <w:sz w:val="24"/>
                <w:szCs w:val="24"/>
              </w:rPr>
            </w:pPr>
            <w:r>
              <w:rPr>
                <w:rFonts w:ascii="Play" w:eastAsia="Play" w:hAnsi="Play" w:cs="Play"/>
                <w:sz w:val="24"/>
                <w:szCs w:val="24"/>
              </w:rPr>
              <w:t>Decision on abstracts</w:t>
            </w:r>
          </w:p>
        </w:tc>
        <w:tc>
          <w:tcPr>
            <w:tcW w:w="6579" w:type="dxa"/>
            <w:tcBorders>
              <w:top w:val="single" w:sz="6" w:space="0" w:color="DDDDDD"/>
              <w:left w:val="nil"/>
              <w:bottom w:val="nil"/>
              <w:right w:val="nil"/>
            </w:tcBorders>
            <w:tcMar>
              <w:top w:w="48" w:type="dxa"/>
              <w:left w:w="240" w:type="dxa"/>
              <w:bottom w:w="48" w:type="dxa"/>
              <w:right w:w="240" w:type="dxa"/>
            </w:tcMar>
            <w:vAlign w:val="bottom"/>
          </w:tcPr>
          <w:p w14:paraId="086FEA90" w14:textId="77777777" w:rsidR="00001796" w:rsidRDefault="00000000">
            <w:pPr>
              <w:spacing w:after="0" w:line="240" w:lineRule="auto"/>
              <w:rPr>
                <w:rFonts w:ascii="Play" w:eastAsia="Play" w:hAnsi="Play" w:cs="Play"/>
                <w:sz w:val="24"/>
                <w:szCs w:val="24"/>
              </w:rPr>
            </w:pPr>
            <w:r>
              <w:rPr>
                <w:rFonts w:ascii="Play" w:eastAsia="Play" w:hAnsi="Play" w:cs="Play"/>
                <w:sz w:val="24"/>
                <w:szCs w:val="24"/>
              </w:rPr>
              <w:t>July 15, 2026</w:t>
            </w:r>
          </w:p>
        </w:tc>
      </w:tr>
      <w:tr w:rsidR="00001796" w14:paraId="6B77346A" w14:textId="77777777">
        <w:tc>
          <w:tcPr>
            <w:tcW w:w="6579" w:type="dxa"/>
            <w:tcBorders>
              <w:top w:val="single" w:sz="6" w:space="0" w:color="DDDDDD"/>
              <w:left w:val="nil"/>
              <w:bottom w:val="nil"/>
              <w:right w:val="nil"/>
            </w:tcBorders>
            <w:tcMar>
              <w:top w:w="48" w:type="dxa"/>
              <w:left w:w="240" w:type="dxa"/>
              <w:bottom w:w="48" w:type="dxa"/>
              <w:right w:w="240" w:type="dxa"/>
            </w:tcMar>
            <w:vAlign w:val="bottom"/>
          </w:tcPr>
          <w:p w14:paraId="61738B71" w14:textId="77777777" w:rsidR="00001796" w:rsidRDefault="00000000">
            <w:pPr>
              <w:spacing w:after="0" w:line="240" w:lineRule="auto"/>
              <w:rPr>
                <w:rFonts w:ascii="Play" w:eastAsia="Play" w:hAnsi="Play" w:cs="Play"/>
                <w:sz w:val="24"/>
                <w:szCs w:val="24"/>
              </w:rPr>
            </w:pPr>
            <w:r>
              <w:rPr>
                <w:rFonts w:ascii="Play" w:eastAsia="Play" w:hAnsi="Play" w:cs="Play"/>
                <w:sz w:val="24"/>
                <w:szCs w:val="24"/>
              </w:rPr>
              <w:lastRenderedPageBreak/>
              <w:t>Full papers due</w:t>
            </w:r>
          </w:p>
        </w:tc>
        <w:tc>
          <w:tcPr>
            <w:tcW w:w="6579" w:type="dxa"/>
            <w:tcBorders>
              <w:top w:val="single" w:sz="6" w:space="0" w:color="DDDDDD"/>
              <w:left w:val="nil"/>
              <w:bottom w:val="nil"/>
              <w:right w:val="nil"/>
            </w:tcBorders>
            <w:tcMar>
              <w:top w:w="48" w:type="dxa"/>
              <w:left w:w="240" w:type="dxa"/>
              <w:bottom w:w="48" w:type="dxa"/>
              <w:right w:w="240" w:type="dxa"/>
            </w:tcMar>
            <w:vAlign w:val="bottom"/>
          </w:tcPr>
          <w:p w14:paraId="28B9657D" w14:textId="77777777" w:rsidR="00001796" w:rsidRDefault="00000000">
            <w:pPr>
              <w:spacing w:after="0" w:line="240" w:lineRule="auto"/>
              <w:rPr>
                <w:rFonts w:ascii="Play" w:eastAsia="Play" w:hAnsi="Play" w:cs="Play"/>
                <w:sz w:val="24"/>
                <w:szCs w:val="24"/>
              </w:rPr>
            </w:pPr>
            <w:r>
              <w:rPr>
                <w:rFonts w:ascii="Play" w:eastAsia="Play" w:hAnsi="Play" w:cs="Play"/>
                <w:sz w:val="24"/>
                <w:szCs w:val="24"/>
              </w:rPr>
              <w:t>December 15, 2026</w:t>
            </w:r>
          </w:p>
        </w:tc>
      </w:tr>
      <w:tr w:rsidR="00001796" w14:paraId="74310A97" w14:textId="77777777">
        <w:tc>
          <w:tcPr>
            <w:tcW w:w="6579" w:type="dxa"/>
            <w:tcBorders>
              <w:top w:val="single" w:sz="6" w:space="0" w:color="DDDDDD"/>
              <w:left w:val="nil"/>
              <w:bottom w:val="nil"/>
              <w:right w:val="nil"/>
            </w:tcBorders>
            <w:tcMar>
              <w:top w:w="48" w:type="dxa"/>
              <w:left w:w="240" w:type="dxa"/>
              <w:bottom w:w="48" w:type="dxa"/>
              <w:right w:w="240" w:type="dxa"/>
            </w:tcMar>
            <w:vAlign w:val="bottom"/>
          </w:tcPr>
          <w:p w14:paraId="5722B5B3" w14:textId="77777777" w:rsidR="00001796" w:rsidRDefault="00000000">
            <w:pPr>
              <w:spacing w:after="0" w:line="240" w:lineRule="auto"/>
              <w:rPr>
                <w:rFonts w:ascii="Play" w:eastAsia="Play" w:hAnsi="Play" w:cs="Play"/>
                <w:sz w:val="24"/>
                <w:szCs w:val="24"/>
              </w:rPr>
            </w:pPr>
            <w:r>
              <w:rPr>
                <w:rFonts w:ascii="Play" w:eastAsia="Play" w:hAnsi="Play" w:cs="Play"/>
                <w:sz w:val="24"/>
                <w:szCs w:val="24"/>
              </w:rPr>
              <w:t>Peer review feedback and decision to authors</w:t>
            </w:r>
          </w:p>
        </w:tc>
        <w:tc>
          <w:tcPr>
            <w:tcW w:w="6579" w:type="dxa"/>
            <w:tcBorders>
              <w:top w:val="single" w:sz="6" w:space="0" w:color="DDDDDD"/>
              <w:left w:val="nil"/>
              <w:bottom w:val="nil"/>
              <w:right w:val="nil"/>
            </w:tcBorders>
            <w:tcMar>
              <w:top w:w="48" w:type="dxa"/>
              <w:left w:w="240" w:type="dxa"/>
              <w:bottom w:w="48" w:type="dxa"/>
              <w:right w:w="240" w:type="dxa"/>
            </w:tcMar>
            <w:vAlign w:val="bottom"/>
          </w:tcPr>
          <w:p w14:paraId="69A18325" w14:textId="77777777" w:rsidR="00001796" w:rsidRDefault="00000000">
            <w:pPr>
              <w:spacing w:after="0" w:line="240" w:lineRule="auto"/>
              <w:rPr>
                <w:rFonts w:ascii="Play" w:eastAsia="Play" w:hAnsi="Play" w:cs="Play"/>
                <w:sz w:val="24"/>
                <w:szCs w:val="24"/>
              </w:rPr>
            </w:pPr>
            <w:r>
              <w:rPr>
                <w:rFonts w:ascii="Play" w:eastAsia="Play" w:hAnsi="Play" w:cs="Play"/>
                <w:sz w:val="24"/>
                <w:szCs w:val="24"/>
              </w:rPr>
              <w:t>March 15, 2027</w:t>
            </w:r>
          </w:p>
        </w:tc>
      </w:tr>
      <w:tr w:rsidR="00001796" w14:paraId="25851F9B" w14:textId="77777777">
        <w:tc>
          <w:tcPr>
            <w:tcW w:w="6579" w:type="dxa"/>
            <w:tcBorders>
              <w:top w:val="single" w:sz="6" w:space="0" w:color="DDDDDD"/>
              <w:left w:val="nil"/>
              <w:bottom w:val="nil"/>
              <w:right w:val="nil"/>
            </w:tcBorders>
            <w:tcMar>
              <w:top w:w="48" w:type="dxa"/>
              <w:left w:w="240" w:type="dxa"/>
              <w:bottom w:w="48" w:type="dxa"/>
              <w:right w:w="240" w:type="dxa"/>
            </w:tcMar>
            <w:vAlign w:val="bottom"/>
          </w:tcPr>
          <w:p w14:paraId="18702F21" w14:textId="77777777" w:rsidR="00001796" w:rsidRDefault="00000000">
            <w:pPr>
              <w:spacing w:after="0" w:line="240" w:lineRule="auto"/>
              <w:rPr>
                <w:rFonts w:ascii="Play" w:eastAsia="Play" w:hAnsi="Play" w:cs="Play"/>
                <w:sz w:val="24"/>
                <w:szCs w:val="24"/>
              </w:rPr>
            </w:pPr>
            <w:bookmarkStart w:id="3" w:name="_heading=h.xobow6di1yyw" w:colFirst="0" w:colLast="0"/>
            <w:bookmarkEnd w:id="3"/>
            <w:r>
              <w:rPr>
                <w:rFonts w:ascii="Play" w:eastAsia="Play" w:hAnsi="Play" w:cs="Play"/>
                <w:sz w:val="24"/>
                <w:szCs w:val="24"/>
              </w:rPr>
              <w:t>Final versions of papers due to guest editors</w:t>
            </w:r>
          </w:p>
        </w:tc>
        <w:tc>
          <w:tcPr>
            <w:tcW w:w="6579" w:type="dxa"/>
            <w:tcBorders>
              <w:top w:val="single" w:sz="6" w:space="0" w:color="DDDDDD"/>
              <w:left w:val="nil"/>
              <w:bottom w:val="nil"/>
              <w:right w:val="nil"/>
            </w:tcBorders>
            <w:tcMar>
              <w:top w:w="48" w:type="dxa"/>
              <w:left w:w="240" w:type="dxa"/>
              <w:bottom w:w="48" w:type="dxa"/>
              <w:right w:w="240" w:type="dxa"/>
            </w:tcMar>
            <w:vAlign w:val="bottom"/>
          </w:tcPr>
          <w:p w14:paraId="22CCCA99" w14:textId="77777777" w:rsidR="00001796" w:rsidRDefault="00000000">
            <w:pPr>
              <w:spacing w:after="0" w:line="240" w:lineRule="auto"/>
              <w:rPr>
                <w:rFonts w:ascii="Play" w:eastAsia="Play" w:hAnsi="Play" w:cs="Play"/>
                <w:sz w:val="24"/>
                <w:szCs w:val="24"/>
              </w:rPr>
            </w:pPr>
            <w:r>
              <w:rPr>
                <w:rFonts w:ascii="Play" w:eastAsia="Play" w:hAnsi="Play" w:cs="Play"/>
                <w:sz w:val="24"/>
                <w:szCs w:val="24"/>
              </w:rPr>
              <w:t>June 15, 2027</w:t>
            </w:r>
          </w:p>
        </w:tc>
      </w:tr>
      <w:tr w:rsidR="00001796" w14:paraId="1E1A604D" w14:textId="77777777">
        <w:tc>
          <w:tcPr>
            <w:tcW w:w="6579" w:type="dxa"/>
            <w:tcBorders>
              <w:top w:val="single" w:sz="6" w:space="0" w:color="DDDDDD"/>
              <w:left w:val="nil"/>
              <w:bottom w:val="nil"/>
              <w:right w:val="nil"/>
            </w:tcBorders>
            <w:tcMar>
              <w:top w:w="48" w:type="dxa"/>
              <w:left w:w="240" w:type="dxa"/>
              <w:bottom w:w="48" w:type="dxa"/>
              <w:right w:w="240" w:type="dxa"/>
            </w:tcMar>
            <w:vAlign w:val="bottom"/>
          </w:tcPr>
          <w:p w14:paraId="7F1A56D8" w14:textId="77777777" w:rsidR="00001796" w:rsidRDefault="00000000">
            <w:pPr>
              <w:spacing w:after="0" w:line="240" w:lineRule="auto"/>
              <w:rPr>
                <w:rFonts w:ascii="Play" w:eastAsia="Play" w:hAnsi="Play" w:cs="Play"/>
                <w:sz w:val="24"/>
                <w:szCs w:val="24"/>
              </w:rPr>
            </w:pPr>
            <w:r>
              <w:rPr>
                <w:rFonts w:ascii="Play" w:eastAsia="Play" w:hAnsi="Play" w:cs="Play"/>
                <w:sz w:val="24"/>
                <w:szCs w:val="24"/>
              </w:rPr>
              <w:t>Publication of special issue</w:t>
            </w:r>
          </w:p>
        </w:tc>
        <w:tc>
          <w:tcPr>
            <w:tcW w:w="6579" w:type="dxa"/>
            <w:tcBorders>
              <w:top w:val="single" w:sz="6" w:space="0" w:color="DDDDDD"/>
              <w:left w:val="nil"/>
              <w:bottom w:val="nil"/>
              <w:right w:val="nil"/>
            </w:tcBorders>
            <w:tcMar>
              <w:top w:w="48" w:type="dxa"/>
              <w:left w:w="240" w:type="dxa"/>
              <w:bottom w:w="48" w:type="dxa"/>
              <w:right w:w="240" w:type="dxa"/>
            </w:tcMar>
            <w:vAlign w:val="bottom"/>
          </w:tcPr>
          <w:p w14:paraId="30829EFF" w14:textId="77777777" w:rsidR="00001796" w:rsidRDefault="00000000">
            <w:pPr>
              <w:spacing w:after="0" w:line="240" w:lineRule="auto"/>
              <w:rPr>
                <w:rFonts w:ascii="Play" w:eastAsia="Play" w:hAnsi="Play" w:cs="Play"/>
                <w:sz w:val="24"/>
                <w:szCs w:val="24"/>
              </w:rPr>
            </w:pPr>
            <w:r>
              <w:rPr>
                <w:rFonts w:ascii="Play" w:eastAsia="Play" w:hAnsi="Play" w:cs="Play"/>
                <w:sz w:val="24"/>
                <w:szCs w:val="24"/>
              </w:rPr>
              <w:t>September 2027</w:t>
            </w:r>
          </w:p>
        </w:tc>
      </w:tr>
    </w:tbl>
    <w:p w14:paraId="74ED1E45" w14:textId="77777777" w:rsidR="00001796" w:rsidRDefault="00000000">
      <w:pPr>
        <w:numPr>
          <w:ilvl w:val="0"/>
          <w:numId w:val="1"/>
        </w:numPr>
        <w:pBdr>
          <w:top w:val="nil"/>
          <w:left w:val="nil"/>
          <w:bottom w:val="nil"/>
          <w:right w:val="nil"/>
          <w:between w:val="nil"/>
        </w:pBdr>
        <w:tabs>
          <w:tab w:val="left" w:pos="1900"/>
        </w:tabs>
        <w:spacing w:after="0" w:line="240" w:lineRule="auto"/>
        <w:jc w:val="both"/>
        <w:rPr>
          <w:rFonts w:ascii="Play" w:eastAsia="Play" w:hAnsi="Play" w:cs="Play"/>
          <w:b/>
          <w:bCs/>
          <w:color w:val="000000"/>
          <w:sz w:val="24"/>
          <w:szCs w:val="24"/>
        </w:rPr>
      </w:pPr>
      <w:r>
        <w:rPr>
          <w:rFonts w:ascii="Play" w:eastAsia="Play" w:hAnsi="Play" w:cs="Play"/>
          <w:color w:val="000000"/>
          <w:sz w:val="24"/>
          <w:szCs w:val="24"/>
        </w:rPr>
        <w:t>Authors are invited to submit a 400–500 word abstract clearly indicating the topic, methodology, and original contribution of their proposed paper. Abstracts should be submitted as a Word attachment to Ahmad Ayyad (</w:t>
      </w:r>
      <w:hyperlink r:id="rId7">
        <w:r>
          <w:rPr>
            <w:rFonts w:ascii="Play" w:eastAsia="Play" w:hAnsi="Play" w:cs="Play"/>
            <w:color w:val="467886"/>
            <w:sz w:val="24"/>
            <w:szCs w:val="24"/>
            <w:u w:val="single"/>
          </w:rPr>
          <w:t>aayyad@binghamton.edu</w:t>
        </w:r>
      </w:hyperlink>
      <w:r>
        <w:rPr>
          <w:rFonts w:ascii="Play" w:eastAsia="Play" w:hAnsi="Play" w:cs="Play"/>
          <w:color w:val="000000"/>
          <w:sz w:val="24"/>
          <w:szCs w:val="24"/>
        </w:rPr>
        <w:t>) and Rachel Antonini (</w:t>
      </w:r>
      <w:hyperlink r:id="rId8">
        <w:r>
          <w:rPr>
            <w:rFonts w:ascii="Play" w:eastAsia="Play" w:hAnsi="Play" w:cs="Play"/>
            <w:color w:val="467886"/>
            <w:sz w:val="24"/>
            <w:szCs w:val="24"/>
            <w:u w:val="single"/>
          </w:rPr>
          <w:t>Rachele.antonini@unibo.it</w:t>
        </w:r>
      </w:hyperlink>
      <w:r>
        <w:rPr>
          <w:rFonts w:ascii="Play" w:eastAsia="Play" w:hAnsi="Play" w:cs="Play"/>
          <w:color w:val="000000"/>
          <w:sz w:val="24"/>
          <w:szCs w:val="24"/>
        </w:rPr>
        <w:t xml:space="preserve">) by </w:t>
      </w:r>
      <w:r>
        <w:rPr>
          <w:rFonts w:ascii="Play" w:eastAsia="Play" w:hAnsi="Play" w:cs="Play"/>
          <w:b/>
          <w:bCs/>
          <w:color w:val="000000"/>
          <w:sz w:val="24"/>
          <w:szCs w:val="24"/>
        </w:rPr>
        <w:t>June 15, 2026</w:t>
      </w:r>
      <w:r>
        <w:rPr>
          <w:rFonts w:ascii="Play" w:eastAsia="Play" w:hAnsi="Play" w:cs="Play"/>
          <w:color w:val="000000"/>
          <w:sz w:val="24"/>
          <w:szCs w:val="24"/>
        </w:rPr>
        <w:t xml:space="preserve">. Please use the following subject line format for your email: </w:t>
      </w:r>
      <w:r>
        <w:rPr>
          <w:rFonts w:ascii="Play" w:eastAsia="Play" w:hAnsi="Play" w:cs="Play"/>
          <w:b/>
          <w:bCs/>
          <w:color w:val="000000"/>
          <w:sz w:val="24"/>
          <w:szCs w:val="24"/>
        </w:rPr>
        <w:t>“</w:t>
      </w:r>
      <w:r>
        <w:rPr>
          <w:rFonts w:ascii="Play" w:eastAsia="Play" w:hAnsi="Play" w:cs="Play"/>
          <w:b/>
          <w:bCs/>
          <w:sz w:val="24"/>
          <w:szCs w:val="24"/>
        </w:rPr>
        <w:t>JoNPIT</w:t>
      </w:r>
      <w:r>
        <w:rPr>
          <w:rFonts w:ascii="Play" w:eastAsia="Play" w:hAnsi="Play" w:cs="Play"/>
          <w:b/>
          <w:bCs/>
          <w:color w:val="000000"/>
          <w:sz w:val="24"/>
          <w:szCs w:val="24"/>
        </w:rPr>
        <w:t xml:space="preserve"> Special Issue – [Title of Paper]”</w:t>
      </w:r>
      <w:r>
        <w:rPr>
          <w:rFonts w:ascii="Play" w:eastAsia="Play" w:hAnsi="Play" w:cs="Play"/>
          <w:color w:val="000000"/>
          <w:sz w:val="24"/>
          <w:szCs w:val="24"/>
        </w:rPr>
        <w:t>.</w:t>
      </w:r>
    </w:p>
    <w:p w14:paraId="47AF3507" w14:textId="77777777" w:rsidR="00001796" w:rsidRDefault="00001796">
      <w:pPr>
        <w:pBdr>
          <w:top w:val="nil"/>
          <w:left w:val="nil"/>
          <w:bottom w:val="nil"/>
          <w:right w:val="nil"/>
          <w:between w:val="nil"/>
        </w:pBdr>
        <w:tabs>
          <w:tab w:val="left" w:pos="1900"/>
        </w:tabs>
        <w:spacing w:after="0" w:line="240" w:lineRule="auto"/>
        <w:jc w:val="both"/>
        <w:rPr>
          <w:rFonts w:ascii="Play" w:eastAsia="Play" w:hAnsi="Play" w:cs="Play"/>
          <w:b/>
          <w:bCs/>
          <w:color w:val="000000"/>
          <w:sz w:val="24"/>
          <w:szCs w:val="24"/>
        </w:rPr>
      </w:pPr>
    </w:p>
    <w:p w14:paraId="2792200A" w14:textId="77777777" w:rsidR="00001796" w:rsidRDefault="00000000">
      <w:pPr>
        <w:numPr>
          <w:ilvl w:val="0"/>
          <w:numId w:val="1"/>
        </w:numPr>
        <w:pBdr>
          <w:top w:val="nil"/>
          <w:left w:val="nil"/>
          <w:bottom w:val="nil"/>
          <w:right w:val="nil"/>
          <w:between w:val="nil"/>
        </w:pBdr>
        <w:tabs>
          <w:tab w:val="left" w:pos="1900"/>
        </w:tabs>
        <w:spacing w:after="0" w:line="240" w:lineRule="auto"/>
        <w:jc w:val="both"/>
        <w:rPr>
          <w:rFonts w:ascii="Play" w:eastAsia="Play" w:hAnsi="Play" w:cs="Play"/>
          <w:b/>
          <w:bCs/>
          <w:color w:val="000000"/>
          <w:sz w:val="24"/>
          <w:szCs w:val="24"/>
        </w:rPr>
      </w:pPr>
      <w:r>
        <w:rPr>
          <w:rFonts w:ascii="Play" w:eastAsia="Play" w:hAnsi="Play" w:cs="Play"/>
          <w:color w:val="121212"/>
          <w:sz w:val="24"/>
          <w:szCs w:val="24"/>
        </w:rPr>
        <w:t>Manuscripts should be prepared according to the journal's standard author guidelines (</w:t>
      </w:r>
      <w:hyperlink r:id="rId9">
        <w:r>
          <w:rPr>
            <w:rFonts w:ascii="Play" w:eastAsia="Play" w:hAnsi="Play" w:cs="Play"/>
            <w:color w:val="116611"/>
            <w:sz w:val="24"/>
            <w:szCs w:val="24"/>
            <w:u w:val="single"/>
          </w:rPr>
          <w:t>Submissions | Journal of Non-professional Interpreting and Translation</w:t>
        </w:r>
      </w:hyperlink>
      <w:r>
        <w:rPr>
          <w:rFonts w:ascii="Play" w:eastAsia="Play" w:hAnsi="Play" w:cs="Play"/>
          <w:color w:val="121212"/>
          <w:sz w:val="24"/>
          <w:szCs w:val="24"/>
        </w:rPr>
        <w:t>).</w:t>
      </w:r>
    </w:p>
    <w:p w14:paraId="2BE3F8F3" w14:textId="77777777" w:rsidR="00001796" w:rsidRDefault="00001796">
      <w:pPr>
        <w:pBdr>
          <w:top w:val="nil"/>
          <w:left w:val="nil"/>
          <w:bottom w:val="nil"/>
          <w:right w:val="nil"/>
          <w:between w:val="nil"/>
        </w:pBdr>
        <w:tabs>
          <w:tab w:val="left" w:pos="1900"/>
        </w:tabs>
        <w:spacing w:after="0" w:line="360" w:lineRule="auto"/>
        <w:jc w:val="both"/>
        <w:rPr>
          <w:rFonts w:ascii="Play" w:eastAsia="Play" w:hAnsi="Play" w:cs="Play"/>
          <w:b/>
          <w:bCs/>
          <w:color w:val="000000"/>
          <w:sz w:val="24"/>
          <w:szCs w:val="24"/>
        </w:rPr>
      </w:pPr>
    </w:p>
    <w:p w14:paraId="63D24988" w14:textId="77777777" w:rsidR="00001796" w:rsidRDefault="00000000">
      <w:pPr>
        <w:pBdr>
          <w:top w:val="nil"/>
          <w:left w:val="nil"/>
          <w:bottom w:val="nil"/>
          <w:right w:val="nil"/>
          <w:between w:val="nil"/>
        </w:pBdr>
        <w:tabs>
          <w:tab w:val="left" w:pos="1900"/>
        </w:tabs>
        <w:spacing w:after="0" w:line="360" w:lineRule="auto"/>
        <w:jc w:val="both"/>
        <w:rPr>
          <w:rFonts w:ascii="Play" w:eastAsia="Play" w:hAnsi="Play" w:cs="Play"/>
          <w:b/>
          <w:bCs/>
          <w:color w:val="000000"/>
          <w:sz w:val="24"/>
          <w:szCs w:val="24"/>
        </w:rPr>
      </w:pPr>
      <w:bookmarkStart w:id="4" w:name="_heading=h.wun9z4nd4ulw" w:colFirst="0" w:colLast="0"/>
      <w:bookmarkEnd w:id="4"/>
      <w:r>
        <w:rPr>
          <w:rFonts w:ascii="Play" w:eastAsia="Play" w:hAnsi="Play" w:cs="Play"/>
          <w:b/>
          <w:bCs/>
          <w:color w:val="000000"/>
          <w:sz w:val="24"/>
          <w:szCs w:val="24"/>
        </w:rPr>
        <w:t>References</w:t>
      </w:r>
    </w:p>
    <w:p w14:paraId="155BDCA5" w14:textId="77777777" w:rsidR="00001796" w:rsidRDefault="00000000">
      <w:pPr>
        <w:pBdr>
          <w:top w:val="nil"/>
          <w:left w:val="nil"/>
          <w:bottom w:val="nil"/>
          <w:right w:val="nil"/>
          <w:between w:val="nil"/>
        </w:pBdr>
        <w:spacing w:after="280" w:line="240" w:lineRule="auto"/>
        <w:jc w:val="both"/>
        <w:rPr>
          <w:rFonts w:ascii="Play" w:eastAsia="Play" w:hAnsi="Play" w:cs="Play"/>
          <w:color w:val="000000"/>
          <w:sz w:val="24"/>
          <w:szCs w:val="24"/>
        </w:rPr>
      </w:pPr>
      <w:r>
        <w:rPr>
          <w:rFonts w:ascii="Play" w:eastAsia="Play" w:hAnsi="Play" w:cs="Play"/>
          <w:color w:val="000000"/>
          <w:sz w:val="24"/>
          <w:szCs w:val="24"/>
        </w:rPr>
        <w:t xml:space="preserve">Ayyad, Ahmad. 2025. “Translating Peace Proposals During Times of Conflict: Incompatible Political Interpretations and Competing Ideologies”. In </w:t>
      </w:r>
      <w:r>
        <w:rPr>
          <w:rFonts w:ascii="Play" w:eastAsia="Play" w:hAnsi="Play" w:cs="Play"/>
          <w:i/>
          <w:iCs/>
          <w:color w:val="000000"/>
          <w:sz w:val="24"/>
          <w:szCs w:val="24"/>
        </w:rPr>
        <w:t>Routledge Handbook on Interpreting and Translation in Armed Conflicts</w:t>
      </w:r>
      <w:r>
        <w:rPr>
          <w:rFonts w:ascii="Play" w:eastAsia="Play" w:hAnsi="Play" w:cs="Play"/>
          <w:color w:val="000000"/>
          <w:sz w:val="24"/>
          <w:szCs w:val="24"/>
        </w:rPr>
        <w:t>, edited by Marija Todorova and Lucia Rosendo 379-395. London: Routledge.</w:t>
      </w:r>
    </w:p>
    <w:p w14:paraId="002C718C" w14:textId="77777777" w:rsidR="00001796" w:rsidRDefault="00000000">
      <w:pPr>
        <w:pBdr>
          <w:top w:val="nil"/>
          <w:left w:val="nil"/>
          <w:bottom w:val="nil"/>
          <w:right w:val="nil"/>
          <w:between w:val="nil"/>
        </w:pBdr>
        <w:spacing w:line="240" w:lineRule="auto"/>
        <w:jc w:val="both"/>
        <w:rPr>
          <w:rFonts w:ascii="Play" w:eastAsia="Play" w:hAnsi="Play" w:cs="Play"/>
          <w:color w:val="000000"/>
          <w:sz w:val="24"/>
          <w:szCs w:val="24"/>
        </w:rPr>
      </w:pPr>
      <w:r>
        <w:rPr>
          <w:rFonts w:ascii="Play" w:eastAsia="Play" w:hAnsi="Play" w:cs="Play"/>
          <w:color w:val="000000"/>
          <w:sz w:val="24"/>
          <w:szCs w:val="24"/>
        </w:rPr>
        <w:t xml:space="preserve">Ayyad, Ahmad. 2024. “Contested Naming Practices in the Palestinian–Israeli Conflict: A Translation Perspective.” </w:t>
      </w:r>
      <w:r>
        <w:rPr>
          <w:rFonts w:ascii="Play" w:eastAsia="Play" w:hAnsi="Play" w:cs="Play"/>
          <w:i/>
          <w:iCs/>
          <w:color w:val="000000"/>
          <w:sz w:val="24"/>
          <w:szCs w:val="24"/>
        </w:rPr>
        <w:t>Translation Studies</w:t>
      </w:r>
      <w:r>
        <w:rPr>
          <w:rFonts w:ascii="Play" w:eastAsia="Play" w:hAnsi="Play" w:cs="Play"/>
          <w:color w:val="000000"/>
          <w:sz w:val="24"/>
          <w:szCs w:val="24"/>
        </w:rPr>
        <w:t xml:space="preserve"> 17 (2): 229–48. </w:t>
      </w:r>
      <w:hyperlink r:id="rId10">
        <w:r>
          <w:rPr>
            <w:rFonts w:ascii="Play" w:eastAsia="Play" w:hAnsi="Play" w:cs="Play"/>
            <w:color w:val="000000"/>
            <w:sz w:val="24"/>
            <w:szCs w:val="24"/>
            <w:u w:val="single"/>
          </w:rPr>
          <w:t>https://doi.org/10.1080/14781700.2023.2258133</w:t>
        </w:r>
      </w:hyperlink>
      <w:r>
        <w:rPr>
          <w:rFonts w:ascii="Play" w:eastAsia="Play" w:hAnsi="Play" w:cs="Play"/>
          <w:color w:val="000000"/>
          <w:sz w:val="24"/>
          <w:szCs w:val="24"/>
        </w:rPr>
        <w:t>.</w:t>
      </w:r>
    </w:p>
    <w:p w14:paraId="440CC5E6" w14:textId="77777777" w:rsidR="00001796" w:rsidRDefault="00000000">
      <w:pPr>
        <w:pBdr>
          <w:top w:val="nil"/>
          <w:left w:val="nil"/>
          <w:bottom w:val="nil"/>
          <w:right w:val="nil"/>
          <w:between w:val="nil"/>
        </w:pBdr>
        <w:spacing w:after="280" w:line="240" w:lineRule="auto"/>
        <w:jc w:val="both"/>
        <w:rPr>
          <w:rFonts w:ascii="Play" w:eastAsia="Play" w:hAnsi="Play" w:cs="Play"/>
          <w:color w:val="000000"/>
          <w:sz w:val="24"/>
          <w:szCs w:val="24"/>
        </w:rPr>
      </w:pPr>
      <w:r>
        <w:rPr>
          <w:rFonts w:ascii="Play" w:eastAsia="Play" w:hAnsi="Play" w:cs="Play"/>
          <w:color w:val="000000"/>
          <w:sz w:val="24"/>
          <w:szCs w:val="24"/>
        </w:rPr>
        <w:t>Aguilar-Solano, María. 2015. “Non-professional Volunteer Interpreting as an Institutionalized Practice in Healthcare: A Study on Interpreters’ Personal Narratives.”  </w:t>
      </w:r>
      <w:r>
        <w:rPr>
          <w:rFonts w:ascii="Play" w:eastAsia="Play" w:hAnsi="Play" w:cs="Play"/>
          <w:i/>
          <w:iCs/>
          <w:color w:val="000000"/>
          <w:sz w:val="24"/>
          <w:szCs w:val="24"/>
        </w:rPr>
        <w:t>Translation &amp; Interpreting: The International Journal for Translation and Interpreting Research</w:t>
      </w:r>
      <w:r>
        <w:rPr>
          <w:rFonts w:ascii="Play" w:eastAsia="Play" w:hAnsi="Play" w:cs="Play"/>
          <w:color w:val="000000"/>
          <w:sz w:val="24"/>
          <w:szCs w:val="24"/>
        </w:rPr>
        <w:t> 17 (3): 132-148.</w:t>
      </w:r>
    </w:p>
    <w:p w14:paraId="3910F1AE" w14:textId="77777777" w:rsidR="00001796" w:rsidRDefault="00000000">
      <w:pPr>
        <w:pBdr>
          <w:top w:val="nil"/>
          <w:left w:val="nil"/>
          <w:bottom w:val="nil"/>
          <w:right w:val="nil"/>
          <w:between w:val="nil"/>
        </w:pBdr>
        <w:spacing w:line="240" w:lineRule="auto"/>
        <w:jc w:val="both"/>
        <w:rPr>
          <w:rFonts w:ascii="Play" w:eastAsia="Play" w:hAnsi="Play" w:cs="Play"/>
          <w:color w:val="000000"/>
          <w:sz w:val="24"/>
          <w:szCs w:val="24"/>
        </w:rPr>
      </w:pPr>
      <w:r>
        <w:rPr>
          <w:rFonts w:ascii="Play" w:eastAsia="Play" w:hAnsi="Play" w:cs="Play"/>
          <w:color w:val="000000"/>
          <w:sz w:val="24"/>
          <w:szCs w:val="24"/>
        </w:rPr>
        <w:t xml:space="preserve">Angelelli, Claudia V. 2019. “Non-Professional Interpreting and Translation.” </w:t>
      </w:r>
      <w:r>
        <w:rPr>
          <w:rFonts w:ascii="Play" w:eastAsia="Play" w:hAnsi="Play" w:cs="Play"/>
          <w:i/>
          <w:iCs/>
          <w:color w:val="000000"/>
          <w:sz w:val="24"/>
          <w:szCs w:val="24"/>
        </w:rPr>
        <w:t>Translation and Interpreting Studies</w:t>
      </w:r>
      <w:r>
        <w:rPr>
          <w:rFonts w:ascii="Play" w:eastAsia="Play" w:hAnsi="Play" w:cs="Play"/>
          <w:color w:val="000000"/>
          <w:sz w:val="24"/>
          <w:szCs w:val="24"/>
        </w:rPr>
        <w:t xml:space="preserve"> 14 (1) (Special issue: </w:t>
      </w:r>
      <w:r>
        <w:rPr>
          <w:rFonts w:ascii="Play" w:eastAsia="Play" w:hAnsi="Play" w:cs="Play"/>
          <w:i/>
          <w:iCs/>
          <w:color w:val="000000"/>
          <w:sz w:val="24"/>
          <w:szCs w:val="24"/>
        </w:rPr>
        <w:t>Non-Professional Interpreting and Translation: Translational Cultures in Focus</w:t>
      </w:r>
      <w:r>
        <w:rPr>
          <w:rFonts w:ascii="Play" w:eastAsia="Play" w:hAnsi="Play" w:cs="Play"/>
          <w:color w:val="000000"/>
          <w:sz w:val="24"/>
          <w:szCs w:val="24"/>
        </w:rPr>
        <w:t>, ed. Feyza Evrin and Bernd Meyer): 1–7.</w:t>
      </w:r>
    </w:p>
    <w:p w14:paraId="5A14825E" w14:textId="77777777" w:rsidR="00001796" w:rsidRDefault="00000000">
      <w:pPr>
        <w:shd w:val="clear" w:color="auto" w:fill="FFFFFF"/>
        <w:spacing w:after="0" w:line="240" w:lineRule="auto"/>
        <w:jc w:val="both"/>
        <w:rPr>
          <w:rFonts w:ascii="Play" w:eastAsia="Play" w:hAnsi="Play" w:cs="Play"/>
          <w:sz w:val="24"/>
          <w:szCs w:val="24"/>
        </w:rPr>
      </w:pPr>
      <w:bookmarkStart w:id="5" w:name="_heading=h.6tle0ajig8vw" w:colFirst="0" w:colLast="0"/>
      <w:bookmarkEnd w:id="5"/>
      <w:r>
        <w:rPr>
          <w:rFonts w:ascii="Play" w:eastAsia="Play" w:hAnsi="Play" w:cs="Play"/>
          <w:sz w:val="24"/>
          <w:szCs w:val="24"/>
        </w:rPr>
        <w:t>Angelelli, Claudia V. 2015. “Justice for All? Issues Faced by Linguistic Minorities and Border Patrol Agents during Interpreted Arraignment Interviews.”  MonTI: Monografías de traducción e interpretación (7):181-205.</w:t>
      </w:r>
    </w:p>
    <w:p w14:paraId="5FDA280A" w14:textId="77777777" w:rsidR="00001796" w:rsidRDefault="00001796">
      <w:pPr>
        <w:pBdr>
          <w:top w:val="nil"/>
          <w:left w:val="nil"/>
          <w:bottom w:val="nil"/>
          <w:right w:val="nil"/>
          <w:between w:val="nil"/>
        </w:pBdr>
        <w:spacing w:after="0" w:line="240" w:lineRule="auto"/>
        <w:jc w:val="both"/>
        <w:rPr>
          <w:rFonts w:ascii="Play" w:eastAsia="Play" w:hAnsi="Play" w:cs="Play"/>
          <w:color w:val="000000"/>
          <w:sz w:val="24"/>
          <w:szCs w:val="24"/>
        </w:rPr>
      </w:pPr>
    </w:p>
    <w:p w14:paraId="4F3EE3F2" w14:textId="77777777" w:rsidR="00001796" w:rsidRDefault="00000000">
      <w:pPr>
        <w:jc w:val="both"/>
        <w:rPr>
          <w:rFonts w:ascii="Play" w:eastAsia="Play" w:hAnsi="Play" w:cs="Play"/>
          <w:sz w:val="24"/>
          <w:szCs w:val="24"/>
        </w:rPr>
      </w:pPr>
      <w:bookmarkStart w:id="6" w:name="_heading=h.9snf80riiwpa" w:colFirst="0" w:colLast="0"/>
      <w:bookmarkEnd w:id="6"/>
      <w:r>
        <w:rPr>
          <w:rFonts w:ascii="Play" w:eastAsia="Play" w:hAnsi="Play" w:cs="Play"/>
          <w:sz w:val="24"/>
          <w:szCs w:val="24"/>
        </w:rPr>
        <w:t xml:space="preserve">Antonini, Rachele. 2010. “The Study of Child Language Brokering: Past, Current and Emerging Research”. mediAzioni 10:1–23. </w:t>
      </w:r>
    </w:p>
    <w:p w14:paraId="3ABB8C5D" w14:textId="77777777" w:rsidR="00001796" w:rsidRDefault="00000000">
      <w:pPr>
        <w:pBdr>
          <w:top w:val="nil"/>
          <w:left w:val="nil"/>
          <w:bottom w:val="nil"/>
          <w:right w:val="nil"/>
          <w:between w:val="nil"/>
        </w:pBdr>
        <w:spacing w:after="0" w:line="240" w:lineRule="auto"/>
        <w:jc w:val="both"/>
        <w:rPr>
          <w:rFonts w:ascii="Play" w:eastAsia="Play" w:hAnsi="Play" w:cs="Play"/>
          <w:color w:val="000000"/>
          <w:sz w:val="24"/>
          <w:szCs w:val="24"/>
        </w:rPr>
      </w:pPr>
      <w:r w:rsidRPr="0034541A">
        <w:rPr>
          <w:rFonts w:ascii="Play" w:eastAsia="Play" w:hAnsi="Play" w:cs="Play"/>
          <w:color w:val="000000"/>
          <w:sz w:val="24"/>
          <w:szCs w:val="24"/>
          <w:lang w:val="it-IT"/>
        </w:rPr>
        <w:t xml:space="preserve">Antonini, Rachele, Cirillo, Letizia, Rossato, Linda and Torresi, Ira. eds. 2017. </w:t>
      </w:r>
      <w:r>
        <w:rPr>
          <w:rFonts w:ascii="Play" w:eastAsia="Play" w:hAnsi="Play" w:cs="Play"/>
          <w:i/>
          <w:iCs/>
          <w:color w:val="000000"/>
          <w:sz w:val="24"/>
          <w:szCs w:val="24"/>
        </w:rPr>
        <w:t>Non-professional Interpreting and Translation: State of the Art and Future of an Emerging Field of Research</w:t>
      </w:r>
      <w:r>
        <w:rPr>
          <w:rFonts w:ascii="Play" w:eastAsia="Play" w:hAnsi="Play" w:cs="Play"/>
          <w:color w:val="000000"/>
          <w:sz w:val="24"/>
          <w:szCs w:val="24"/>
        </w:rPr>
        <w:t>. Amsterdam: John Benjamins.</w:t>
      </w:r>
    </w:p>
    <w:p w14:paraId="48049045" w14:textId="77777777" w:rsidR="00001796" w:rsidRDefault="00001796">
      <w:pPr>
        <w:pBdr>
          <w:top w:val="nil"/>
          <w:left w:val="nil"/>
          <w:bottom w:val="nil"/>
          <w:right w:val="nil"/>
          <w:between w:val="nil"/>
        </w:pBdr>
        <w:spacing w:after="0" w:line="240" w:lineRule="auto"/>
        <w:jc w:val="both"/>
        <w:rPr>
          <w:rFonts w:ascii="Play" w:eastAsia="Play" w:hAnsi="Play" w:cs="Play"/>
          <w:color w:val="000000"/>
          <w:sz w:val="24"/>
          <w:szCs w:val="24"/>
        </w:rPr>
      </w:pPr>
    </w:p>
    <w:p w14:paraId="721F81A7" w14:textId="77777777" w:rsidR="00001796" w:rsidRDefault="00000000">
      <w:pPr>
        <w:shd w:val="clear" w:color="auto" w:fill="FFFFFF"/>
        <w:spacing w:after="0" w:line="240" w:lineRule="auto"/>
        <w:jc w:val="both"/>
        <w:rPr>
          <w:rFonts w:ascii="Play" w:eastAsia="Play" w:hAnsi="Play" w:cs="Play"/>
          <w:sz w:val="24"/>
          <w:szCs w:val="24"/>
        </w:rPr>
      </w:pPr>
      <w:r>
        <w:rPr>
          <w:rFonts w:ascii="Play" w:eastAsia="Play" w:hAnsi="Play" w:cs="Play"/>
          <w:sz w:val="24"/>
          <w:szCs w:val="24"/>
        </w:rPr>
        <w:lastRenderedPageBreak/>
        <w:t>Antonini, Rachele, and Chiara Bucaria. 2016. </w:t>
      </w:r>
      <w:r>
        <w:rPr>
          <w:rFonts w:ascii="Play" w:eastAsia="Play" w:hAnsi="Play" w:cs="Play"/>
          <w:i/>
          <w:iCs/>
          <w:sz w:val="24"/>
          <w:szCs w:val="24"/>
        </w:rPr>
        <w:t>Non-professional interpreting and translation in the media</w:t>
      </w:r>
      <w:r>
        <w:rPr>
          <w:rFonts w:ascii="Play" w:eastAsia="Play" w:hAnsi="Play" w:cs="Play"/>
          <w:sz w:val="24"/>
          <w:szCs w:val="24"/>
        </w:rPr>
        <w:t>. Frankfurt am Main: Peter Lang.</w:t>
      </w:r>
    </w:p>
    <w:p w14:paraId="3DBDD4A9" w14:textId="77777777" w:rsidR="00001796" w:rsidRDefault="00001796">
      <w:pPr>
        <w:pBdr>
          <w:top w:val="nil"/>
          <w:left w:val="nil"/>
          <w:bottom w:val="nil"/>
          <w:right w:val="nil"/>
          <w:between w:val="nil"/>
        </w:pBdr>
        <w:spacing w:after="0" w:line="240" w:lineRule="auto"/>
        <w:jc w:val="both"/>
        <w:rPr>
          <w:rFonts w:ascii="Play" w:eastAsia="Play" w:hAnsi="Play" w:cs="Play"/>
          <w:color w:val="000000"/>
          <w:sz w:val="24"/>
          <w:szCs w:val="24"/>
        </w:rPr>
      </w:pPr>
    </w:p>
    <w:p w14:paraId="36942DF0" w14:textId="77777777" w:rsidR="00001796" w:rsidRDefault="00000000">
      <w:pPr>
        <w:pBdr>
          <w:top w:val="nil"/>
          <w:left w:val="nil"/>
          <w:bottom w:val="nil"/>
          <w:right w:val="nil"/>
          <w:between w:val="nil"/>
        </w:pBdr>
        <w:spacing w:after="280" w:line="240" w:lineRule="auto"/>
        <w:rPr>
          <w:rFonts w:ascii="Play" w:eastAsia="Play" w:hAnsi="Play" w:cs="Play"/>
          <w:color w:val="000000"/>
          <w:sz w:val="24"/>
          <w:szCs w:val="24"/>
        </w:rPr>
      </w:pPr>
      <w:r>
        <w:rPr>
          <w:rFonts w:ascii="Play" w:eastAsia="Play" w:hAnsi="Play" w:cs="Play"/>
          <w:color w:val="000000"/>
          <w:sz w:val="24"/>
          <w:szCs w:val="24"/>
        </w:rPr>
        <w:t xml:space="preserve">Baker, Mona. 2010. “Interpreters and Translators in the War Zone Narrated and Narrators.” </w:t>
      </w:r>
      <w:r>
        <w:rPr>
          <w:rFonts w:ascii="Play" w:eastAsia="Play" w:hAnsi="Play" w:cs="Play"/>
          <w:i/>
          <w:iCs/>
          <w:color w:val="000000"/>
          <w:sz w:val="24"/>
          <w:szCs w:val="24"/>
        </w:rPr>
        <w:t>The Translator</w:t>
      </w:r>
      <w:r>
        <w:rPr>
          <w:rFonts w:ascii="Play" w:eastAsia="Play" w:hAnsi="Play" w:cs="Play"/>
          <w:color w:val="000000"/>
          <w:sz w:val="24"/>
          <w:szCs w:val="24"/>
        </w:rPr>
        <w:t xml:space="preserve"> 16(2): 197-222.</w:t>
      </w:r>
    </w:p>
    <w:p w14:paraId="6DB32228" w14:textId="77777777" w:rsidR="00001796" w:rsidRDefault="00000000">
      <w:pPr>
        <w:pBdr>
          <w:top w:val="nil"/>
          <w:left w:val="nil"/>
          <w:bottom w:val="nil"/>
          <w:right w:val="nil"/>
          <w:between w:val="nil"/>
        </w:pBdr>
        <w:spacing w:after="0" w:line="240" w:lineRule="auto"/>
        <w:jc w:val="both"/>
        <w:rPr>
          <w:rFonts w:ascii="Play" w:eastAsia="Play" w:hAnsi="Play" w:cs="Play"/>
          <w:color w:val="000000"/>
          <w:sz w:val="24"/>
          <w:szCs w:val="24"/>
        </w:rPr>
      </w:pPr>
      <w:bookmarkStart w:id="7" w:name="_heading=h.1fhx4xusym7c" w:colFirst="0" w:colLast="0"/>
      <w:bookmarkEnd w:id="7"/>
      <w:r>
        <w:rPr>
          <w:rFonts w:ascii="Play" w:eastAsia="Play" w:hAnsi="Play" w:cs="Play"/>
          <w:color w:val="000000"/>
          <w:sz w:val="24"/>
          <w:szCs w:val="24"/>
        </w:rPr>
        <w:t xml:space="preserve">Baraldi, Claudio and Gavioli, Laura. 2017. “Intercultural mediation and “(non)professional” interpreting in Italian healthcare institutions.” In </w:t>
      </w:r>
      <w:r>
        <w:rPr>
          <w:rFonts w:ascii="Play" w:eastAsia="Play" w:hAnsi="Play" w:cs="Play"/>
          <w:i/>
          <w:iCs/>
          <w:color w:val="000000"/>
          <w:sz w:val="24"/>
          <w:szCs w:val="24"/>
        </w:rPr>
        <w:t>Non-professional Interpreting and Translation: State of the art and future of an emerging field of research</w:t>
      </w:r>
      <w:r>
        <w:rPr>
          <w:rFonts w:ascii="Play" w:eastAsia="Play" w:hAnsi="Play" w:cs="Play"/>
          <w:color w:val="000000"/>
          <w:sz w:val="24"/>
          <w:szCs w:val="24"/>
        </w:rPr>
        <w:t>, edited by Rachele Antonini, Letizia Cirillo, Linda Rossato and Ira Torresi, 83–106. Amsterdam: John Benjamins.</w:t>
      </w:r>
    </w:p>
    <w:p w14:paraId="0C324DCC" w14:textId="77777777" w:rsidR="00001796" w:rsidRDefault="00001796">
      <w:pPr>
        <w:pBdr>
          <w:top w:val="nil"/>
          <w:left w:val="nil"/>
          <w:bottom w:val="nil"/>
          <w:right w:val="nil"/>
          <w:between w:val="nil"/>
        </w:pBdr>
        <w:spacing w:after="0" w:line="240" w:lineRule="auto"/>
        <w:jc w:val="both"/>
        <w:rPr>
          <w:rFonts w:ascii="Play" w:eastAsia="Play" w:hAnsi="Play" w:cs="Play"/>
          <w:b/>
          <w:bCs/>
          <w:color w:val="000000"/>
          <w:sz w:val="24"/>
          <w:szCs w:val="24"/>
        </w:rPr>
      </w:pPr>
    </w:p>
    <w:p w14:paraId="00DF48EE" w14:textId="77777777" w:rsidR="00001796" w:rsidRDefault="00000000">
      <w:pPr>
        <w:pBdr>
          <w:top w:val="nil"/>
          <w:left w:val="nil"/>
          <w:bottom w:val="nil"/>
          <w:right w:val="nil"/>
          <w:between w:val="nil"/>
        </w:pBdr>
        <w:spacing w:after="0" w:line="240" w:lineRule="auto"/>
        <w:jc w:val="both"/>
        <w:rPr>
          <w:rFonts w:ascii="Play" w:eastAsia="Play" w:hAnsi="Play" w:cs="Play"/>
          <w:color w:val="000000"/>
          <w:sz w:val="24"/>
          <w:szCs w:val="24"/>
        </w:rPr>
      </w:pPr>
      <w:bookmarkStart w:id="8" w:name="_heading=h.9bgqih7r08iq" w:colFirst="0" w:colLast="0"/>
      <w:bookmarkEnd w:id="8"/>
      <w:r>
        <w:rPr>
          <w:rFonts w:ascii="Play" w:eastAsia="Play" w:hAnsi="Play" w:cs="Play"/>
          <w:color w:val="000000"/>
          <w:sz w:val="24"/>
          <w:szCs w:val="24"/>
        </w:rPr>
        <w:t xml:space="preserve">Doğan, Aymil, and Rana Kahraman. 2011. “Emergency and Disaster Interpreting in Turkey: Ten Years of a Unique Endeavour”. </w:t>
      </w:r>
      <w:r>
        <w:rPr>
          <w:rFonts w:ascii="Play" w:eastAsia="Play" w:hAnsi="Play" w:cs="Play"/>
          <w:i/>
          <w:iCs/>
          <w:color w:val="000000"/>
          <w:sz w:val="24"/>
          <w:szCs w:val="24"/>
        </w:rPr>
        <w:t>Edebiyat Fakültesi Dergisi</w:t>
      </w:r>
      <w:r>
        <w:rPr>
          <w:rFonts w:ascii="Play" w:eastAsia="Play" w:hAnsi="Play" w:cs="Play"/>
          <w:color w:val="000000"/>
          <w:sz w:val="24"/>
          <w:szCs w:val="24"/>
        </w:rPr>
        <w:t xml:space="preserve"> 28(2): 61–76.</w:t>
      </w:r>
    </w:p>
    <w:p w14:paraId="10FD8052" w14:textId="77777777" w:rsidR="00001796" w:rsidRDefault="00000000">
      <w:pPr>
        <w:pBdr>
          <w:top w:val="nil"/>
          <w:left w:val="nil"/>
          <w:bottom w:val="nil"/>
          <w:right w:val="nil"/>
          <w:between w:val="nil"/>
        </w:pBdr>
        <w:spacing w:before="280" w:after="280" w:line="240" w:lineRule="auto"/>
        <w:jc w:val="both"/>
        <w:rPr>
          <w:rFonts w:ascii="Play" w:eastAsia="Play" w:hAnsi="Play" w:cs="Play"/>
          <w:color w:val="000000"/>
          <w:sz w:val="24"/>
          <w:szCs w:val="24"/>
        </w:rPr>
      </w:pPr>
      <w:hyperlink r:id="rId11">
        <w:r>
          <w:rPr>
            <w:rFonts w:ascii="Play" w:eastAsia="Play" w:hAnsi="Play" w:cs="Play"/>
            <w:color w:val="000000"/>
            <w:sz w:val="24"/>
            <w:szCs w:val="24"/>
            <w:u w:val="single"/>
          </w:rPr>
          <w:t>Grbić</w:t>
        </w:r>
      </w:hyperlink>
      <w:r>
        <w:rPr>
          <w:rFonts w:ascii="Play" w:eastAsia="Play" w:hAnsi="Play" w:cs="Play"/>
          <w:color w:val="000000"/>
          <w:sz w:val="24"/>
          <w:szCs w:val="24"/>
        </w:rPr>
        <w:t xml:space="preserve">, Nadja and Kujamäki, </w:t>
      </w:r>
      <w:hyperlink r:id="rId12">
        <w:r>
          <w:rPr>
            <w:rFonts w:ascii="Play" w:eastAsia="Play" w:hAnsi="Play" w:cs="Play"/>
            <w:color w:val="000000"/>
            <w:sz w:val="24"/>
            <w:szCs w:val="24"/>
            <w:u w:val="single"/>
          </w:rPr>
          <w:t xml:space="preserve">Pekka </w:t>
        </w:r>
      </w:hyperlink>
      <w:r>
        <w:rPr>
          <w:rFonts w:ascii="Play" w:eastAsia="Play" w:hAnsi="Play" w:cs="Play"/>
          <w:color w:val="000000"/>
          <w:sz w:val="24"/>
          <w:szCs w:val="24"/>
        </w:rPr>
        <w:t xml:space="preserve">. 2018. “Professional vs Non-Professional? How boundary work shapes research agendas in translation and interpreting studies.” In </w:t>
      </w:r>
      <w:hyperlink r:id="rId13">
        <w:r>
          <w:rPr>
            <w:rFonts w:ascii="Play" w:eastAsia="Play" w:hAnsi="Play" w:cs="Play"/>
            <w:i/>
            <w:iCs/>
            <w:color w:val="000000"/>
            <w:sz w:val="24"/>
            <w:szCs w:val="24"/>
            <w:u w:val="single"/>
          </w:rPr>
          <w:t>Moving Boundaries in Translation Studies</w:t>
        </w:r>
      </w:hyperlink>
      <w:r>
        <w:rPr>
          <w:rFonts w:ascii="Play" w:eastAsia="Play" w:hAnsi="Play" w:cs="Play"/>
          <w:color w:val="000000"/>
          <w:sz w:val="24"/>
          <w:szCs w:val="24"/>
        </w:rPr>
        <w:t xml:space="preserve">, edited by Helle Dam, Matilde Brøgger, and Karen Zethsen, 113–132. London. Routledge. </w:t>
      </w:r>
    </w:p>
    <w:p w14:paraId="6830838F" w14:textId="77777777" w:rsidR="00001796" w:rsidRDefault="00000000">
      <w:pPr>
        <w:jc w:val="both"/>
        <w:rPr>
          <w:rFonts w:ascii="Play" w:eastAsia="Play" w:hAnsi="Play" w:cs="Play"/>
          <w:sz w:val="24"/>
          <w:szCs w:val="24"/>
        </w:rPr>
      </w:pPr>
      <w:bookmarkStart w:id="9" w:name="_heading=h.701eaev0882t" w:colFirst="0" w:colLast="0"/>
      <w:bookmarkEnd w:id="9"/>
      <w:r>
        <w:rPr>
          <w:rFonts w:ascii="Play" w:eastAsia="Play" w:hAnsi="Play" w:cs="Play"/>
          <w:sz w:val="24"/>
          <w:szCs w:val="24"/>
        </w:rPr>
        <w:t>Katz, Vikki S. 2014. </w:t>
      </w:r>
      <w:r>
        <w:rPr>
          <w:rFonts w:ascii="Play" w:eastAsia="Play" w:hAnsi="Play" w:cs="Play"/>
          <w:i/>
          <w:iCs/>
          <w:sz w:val="24"/>
          <w:szCs w:val="24"/>
        </w:rPr>
        <w:t>Kids in the Middle: How Children of Immigrants Negotiate Community Interactions for Their Families.</w:t>
      </w:r>
      <w:r>
        <w:rPr>
          <w:rFonts w:ascii="Play" w:eastAsia="Play" w:hAnsi="Play" w:cs="Play"/>
          <w:sz w:val="24"/>
          <w:szCs w:val="24"/>
        </w:rPr>
        <w:t xml:space="preserve"> New Brunswick, NJ: Rutgers University Press.</w:t>
      </w:r>
    </w:p>
    <w:p w14:paraId="2833EC04" w14:textId="77777777" w:rsidR="00001796" w:rsidRDefault="00000000">
      <w:pPr>
        <w:shd w:val="clear" w:color="auto" w:fill="FFFFFF"/>
        <w:spacing w:after="0" w:line="240" w:lineRule="auto"/>
        <w:jc w:val="both"/>
        <w:rPr>
          <w:rFonts w:ascii="Play" w:eastAsia="Play" w:hAnsi="Play" w:cs="Play"/>
          <w:sz w:val="24"/>
          <w:szCs w:val="24"/>
        </w:rPr>
      </w:pPr>
      <w:r>
        <w:rPr>
          <w:rFonts w:ascii="Play" w:eastAsia="Play" w:hAnsi="Play" w:cs="Play"/>
          <w:sz w:val="24"/>
          <w:szCs w:val="24"/>
        </w:rPr>
        <w:t>Martínez-Gómez, Aída. 2015. “Bibliometrics as a tool to map uncharted territory: A study on non-professional interpreting.”  </w:t>
      </w:r>
      <w:r>
        <w:rPr>
          <w:rFonts w:ascii="Play" w:eastAsia="Play" w:hAnsi="Play" w:cs="Play"/>
          <w:i/>
          <w:iCs/>
          <w:sz w:val="24"/>
          <w:szCs w:val="24"/>
        </w:rPr>
        <w:t>Perspectives</w:t>
      </w:r>
      <w:r>
        <w:rPr>
          <w:rFonts w:ascii="Play" w:eastAsia="Play" w:hAnsi="Play" w:cs="Play"/>
          <w:sz w:val="24"/>
          <w:szCs w:val="24"/>
        </w:rPr>
        <w:t xml:space="preserve"> 23 (2): 205-222.  </w:t>
      </w:r>
    </w:p>
    <w:p w14:paraId="6AF21630" w14:textId="77777777" w:rsidR="00001796" w:rsidRDefault="00000000">
      <w:pPr>
        <w:pBdr>
          <w:top w:val="nil"/>
          <w:left w:val="nil"/>
          <w:bottom w:val="nil"/>
          <w:right w:val="nil"/>
          <w:between w:val="nil"/>
        </w:pBdr>
        <w:spacing w:line="240" w:lineRule="auto"/>
        <w:rPr>
          <w:rFonts w:ascii="Play" w:eastAsia="Play" w:hAnsi="Play" w:cs="Play"/>
          <w:color w:val="000000"/>
          <w:sz w:val="24"/>
          <w:szCs w:val="24"/>
        </w:rPr>
      </w:pPr>
      <w:r>
        <w:rPr>
          <w:rFonts w:ascii="Play" w:eastAsia="Play" w:hAnsi="Play" w:cs="Play"/>
          <w:color w:val="000000"/>
          <w:sz w:val="24"/>
          <w:szCs w:val="24"/>
        </w:rPr>
        <w:t xml:space="preserve">Monzó-Nebot, Esther, and Melissa Wallace, eds. 2020. </w:t>
      </w:r>
      <w:r>
        <w:rPr>
          <w:rFonts w:ascii="Play" w:eastAsia="Play" w:hAnsi="Play" w:cs="Play"/>
          <w:i/>
          <w:iCs/>
          <w:color w:val="000000"/>
          <w:sz w:val="24"/>
          <w:szCs w:val="24"/>
        </w:rPr>
        <w:t>Ethics of Non-Professional Translation and Interpreting</w:t>
      </w:r>
      <w:r>
        <w:rPr>
          <w:rFonts w:ascii="Play" w:eastAsia="Play" w:hAnsi="Play" w:cs="Play"/>
          <w:color w:val="000000"/>
          <w:sz w:val="24"/>
          <w:szCs w:val="24"/>
        </w:rPr>
        <w:t xml:space="preserve">. Special issue of </w:t>
      </w:r>
      <w:r>
        <w:rPr>
          <w:rFonts w:ascii="Play" w:eastAsia="Play" w:hAnsi="Play" w:cs="Play"/>
          <w:i/>
          <w:iCs/>
          <w:color w:val="000000"/>
          <w:sz w:val="24"/>
          <w:szCs w:val="24"/>
        </w:rPr>
        <w:t>Translation and Interpreting Studies</w:t>
      </w:r>
      <w:r>
        <w:rPr>
          <w:rFonts w:ascii="Play" w:eastAsia="Play" w:hAnsi="Play" w:cs="Play"/>
          <w:color w:val="000000"/>
          <w:sz w:val="24"/>
          <w:szCs w:val="24"/>
        </w:rPr>
        <w:t xml:space="preserve"> 15 (1).</w:t>
      </w:r>
    </w:p>
    <w:p w14:paraId="644A2D3D" w14:textId="77777777" w:rsidR="00001796" w:rsidRDefault="00000000">
      <w:pPr>
        <w:spacing w:after="0" w:line="240" w:lineRule="auto"/>
        <w:jc w:val="both"/>
        <w:rPr>
          <w:rFonts w:ascii="Play" w:eastAsia="Play" w:hAnsi="Play" w:cs="Play"/>
          <w:sz w:val="24"/>
          <w:szCs w:val="24"/>
        </w:rPr>
      </w:pPr>
      <w:bookmarkStart w:id="10" w:name="_heading=h.78ln842p6xi5" w:colFirst="0" w:colLast="0"/>
      <w:bookmarkEnd w:id="10"/>
      <w:r>
        <w:rPr>
          <w:rFonts w:ascii="Play" w:eastAsia="Play" w:hAnsi="Play" w:cs="Play"/>
          <w:sz w:val="24"/>
          <w:szCs w:val="24"/>
        </w:rPr>
        <w:t xml:space="preserve">Palmer, Jerry. 2007. “Interpreters and Translators on the Front Line. Interpreting and Translation for Western Media in Iraq.” In </w:t>
      </w:r>
      <w:r>
        <w:rPr>
          <w:rFonts w:ascii="Play" w:eastAsia="Play" w:hAnsi="Play" w:cs="Play"/>
          <w:i/>
          <w:iCs/>
          <w:sz w:val="24"/>
          <w:szCs w:val="24"/>
        </w:rPr>
        <w:t>Translating and Interpreting Conflict</w:t>
      </w:r>
      <w:r>
        <w:rPr>
          <w:rFonts w:ascii="Play" w:eastAsia="Play" w:hAnsi="Play" w:cs="Play"/>
          <w:sz w:val="24"/>
          <w:szCs w:val="24"/>
        </w:rPr>
        <w:t>, edited by Myriam Salama-Carr, 13-28. Amsterdam: Radopi.</w:t>
      </w:r>
    </w:p>
    <w:p w14:paraId="0CB67C77" w14:textId="77777777" w:rsidR="00001796" w:rsidRDefault="00001796">
      <w:pPr>
        <w:spacing w:after="0" w:line="240" w:lineRule="auto"/>
        <w:jc w:val="both"/>
        <w:rPr>
          <w:rFonts w:ascii="Play" w:eastAsia="Play" w:hAnsi="Play" w:cs="Play"/>
          <w:sz w:val="24"/>
          <w:szCs w:val="24"/>
        </w:rPr>
      </w:pPr>
    </w:p>
    <w:p w14:paraId="4FD1AC02" w14:textId="77777777" w:rsidR="00001796" w:rsidRDefault="00000000">
      <w:pPr>
        <w:jc w:val="both"/>
        <w:rPr>
          <w:rFonts w:ascii="Play" w:eastAsia="Play" w:hAnsi="Play" w:cs="Play"/>
          <w:sz w:val="24"/>
          <w:szCs w:val="24"/>
        </w:rPr>
      </w:pPr>
      <w:r>
        <w:rPr>
          <w:rFonts w:ascii="Play" w:eastAsia="Play" w:hAnsi="Play" w:cs="Play"/>
          <w:sz w:val="24"/>
          <w:szCs w:val="24"/>
        </w:rPr>
        <w:t>Pérez-González, Luis, and Susan-Saraeva, Şebnem. 2012. “Non-Professionals Translating and Interpreting: Participatory and Engaged Perspectives”. </w:t>
      </w:r>
      <w:r>
        <w:rPr>
          <w:rFonts w:ascii="Play" w:eastAsia="Play" w:hAnsi="Play" w:cs="Play"/>
          <w:i/>
          <w:iCs/>
          <w:sz w:val="24"/>
          <w:szCs w:val="24"/>
        </w:rPr>
        <w:t>The Translator</w:t>
      </w:r>
      <w:r>
        <w:rPr>
          <w:rFonts w:ascii="Play" w:eastAsia="Play" w:hAnsi="Play" w:cs="Play"/>
          <w:sz w:val="24"/>
          <w:szCs w:val="24"/>
        </w:rPr>
        <w:t> 18(2): 149–165.</w:t>
      </w:r>
    </w:p>
    <w:p w14:paraId="39C0AD35" w14:textId="77777777" w:rsidR="00001796" w:rsidRDefault="00000000">
      <w:pPr>
        <w:pBdr>
          <w:top w:val="nil"/>
          <w:left w:val="nil"/>
          <w:bottom w:val="nil"/>
          <w:right w:val="nil"/>
          <w:between w:val="nil"/>
        </w:pBdr>
        <w:spacing w:after="0" w:line="240" w:lineRule="auto"/>
        <w:jc w:val="both"/>
        <w:rPr>
          <w:rFonts w:ascii="Play" w:eastAsia="Play" w:hAnsi="Play" w:cs="Play"/>
          <w:color w:val="000000"/>
          <w:sz w:val="24"/>
          <w:szCs w:val="24"/>
        </w:rPr>
      </w:pPr>
      <w:bookmarkStart w:id="11" w:name="_heading=h.6uy3h8r600rm" w:colFirst="0" w:colLast="0"/>
      <w:bookmarkEnd w:id="11"/>
      <w:r>
        <w:rPr>
          <w:rFonts w:ascii="Play" w:eastAsia="Play" w:hAnsi="Play" w:cs="Play"/>
          <w:color w:val="000000"/>
          <w:sz w:val="24"/>
          <w:szCs w:val="24"/>
        </w:rPr>
        <w:t xml:space="preserve">Pöllabauer, Sonja. 2017. “Issues of terminology in public service interpreting. From affordability through psychotherapy to waiting lists.” In </w:t>
      </w:r>
      <w:r>
        <w:rPr>
          <w:rFonts w:ascii="Play" w:eastAsia="Play" w:hAnsi="Play" w:cs="Play"/>
          <w:i/>
          <w:iCs/>
          <w:color w:val="000000"/>
          <w:sz w:val="24"/>
          <w:szCs w:val="24"/>
        </w:rPr>
        <w:t>Non-professional Interpreting and Translation: State of the art and future of an emerging field of research</w:t>
      </w:r>
      <w:r>
        <w:rPr>
          <w:rFonts w:ascii="Play" w:eastAsia="Play" w:hAnsi="Play" w:cs="Play"/>
          <w:color w:val="000000"/>
          <w:sz w:val="24"/>
          <w:szCs w:val="24"/>
        </w:rPr>
        <w:t>, edited by Rachele Antonini, Letizia Cirillo, Linda Rossato and Ira Torresi, 131–155. Amsterdam: John Benjamins.</w:t>
      </w:r>
    </w:p>
    <w:p w14:paraId="2FC193FC" w14:textId="77777777" w:rsidR="00001796" w:rsidRDefault="00001796">
      <w:pPr>
        <w:pBdr>
          <w:top w:val="nil"/>
          <w:left w:val="nil"/>
          <w:bottom w:val="nil"/>
          <w:right w:val="nil"/>
          <w:between w:val="nil"/>
        </w:pBdr>
        <w:spacing w:after="0" w:line="240" w:lineRule="auto"/>
        <w:jc w:val="both"/>
        <w:rPr>
          <w:rFonts w:ascii="Play" w:eastAsia="Play" w:hAnsi="Play" w:cs="Play"/>
          <w:color w:val="000000"/>
          <w:sz w:val="24"/>
          <w:szCs w:val="24"/>
        </w:rPr>
      </w:pPr>
    </w:p>
    <w:p w14:paraId="3056FA32" w14:textId="77777777" w:rsidR="00001796" w:rsidRDefault="00000000">
      <w:pPr>
        <w:jc w:val="both"/>
        <w:rPr>
          <w:rFonts w:ascii="Play" w:eastAsia="Play" w:hAnsi="Play" w:cs="Play"/>
          <w:sz w:val="24"/>
          <w:szCs w:val="24"/>
        </w:rPr>
      </w:pPr>
      <w:bookmarkStart w:id="12" w:name="_heading=h.vdy04sx2refi" w:colFirst="0" w:colLast="0"/>
      <w:bookmarkEnd w:id="12"/>
      <w:r>
        <w:rPr>
          <w:rFonts w:ascii="Play" w:eastAsia="Play" w:hAnsi="Play" w:cs="Play"/>
          <w:sz w:val="24"/>
          <w:szCs w:val="24"/>
        </w:rPr>
        <w:t xml:space="preserve">Rogl, Regina. 2017. “Language-related disaster relief in Haiti: Volunteer translator networks and language technologies in disaster aid.” In </w:t>
      </w:r>
      <w:hyperlink r:id="rId14">
        <w:r>
          <w:rPr>
            <w:rFonts w:ascii="Play" w:eastAsia="Play" w:hAnsi="Play" w:cs="Play"/>
            <w:i/>
            <w:iCs/>
            <w:color w:val="000000"/>
            <w:sz w:val="24"/>
            <w:szCs w:val="24"/>
          </w:rPr>
          <w:t>Non-professional Interpreting and Translation: State of the art and future of an emerging field of research</w:t>
        </w:r>
      </w:hyperlink>
      <w:r>
        <w:rPr>
          <w:rFonts w:ascii="Play" w:eastAsia="Play" w:hAnsi="Play" w:cs="Play"/>
          <w:sz w:val="24"/>
          <w:szCs w:val="24"/>
        </w:rPr>
        <w:t xml:space="preserve">, edited by </w:t>
      </w:r>
      <w:r>
        <w:rPr>
          <w:rFonts w:ascii="Play" w:eastAsia="Play" w:hAnsi="Play" w:cs="Play"/>
          <w:sz w:val="24"/>
          <w:szCs w:val="24"/>
        </w:rPr>
        <w:lastRenderedPageBreak/>
        <w:t>Rachele Antonini, Letizia Cirillo, Linda Rossato and Ira Torresi, 231–255. Amsterdam: John Benjamins.</w:t>
      </w:r>
    </w:p>
    <w:p w14:paraId="13C92D3A" w14:textId="77777777" w:rsidR="00001796" w:rsidRDefault="00000000">
      <w:pPr>
        <w:pBdr>
          <w:top w:val="nil"/>
          <w:left w:val="nil"/>
          <w:bottom w:val="nil"/>
          <w:right w:val="nil"/>
          <w:between w:val="nil"/>
        </w:pBdr>
        <w:spacing w:before="280" w:after="280" w:line="240" w:lineRule="auto"/>
        <w:jc w:val="both"/>
        <w:rPr>
          <w:rFonts w:ascii="Play" w:eastAsia="Play" w:hAnsi="Play" w:cs="Play"/>
          <w:color w:val="000000"/>
          <w:sz w:val="24"/>
          <w:szCs w:val="24"/>
        </w:rPr>
      </w:pPr>
      <w:r>
        <w:rPr>
          <w:rFonts w:ascii="Play" w:eastAsia="Play" w:hAnsi="Play" w:cs="Play"/>
          <w:color w:val="000000"/>
          <w:sz w:val="24"/>
          <w:szCs w:val="24"/>
        </w:rPr>
        <w:t xml:space="preserve">Rossato, Linda. 2017. “From confinement to community service. Migrant inmates mediating between languages and cultures.” In </w:t>
      </w:r>
      <w:hyperlink r:id="rId15">
        <w:r>
          <w:rPr>
            <w:rFonts w:ascii="Play" w:eastAsia="Play" w:hAnsi="Play" w:cs="Play"/>
            <w:i/>
            <w:iCs/>
            <w:color w:val="000000"/>
            <w:sz w:val="24"/>
            <w:szCs w:val="24"/>
          </w:rPr>
          <w:t>Non-professional Interpreting and Translation: State of the art and future of an emerging field of research</w:t>
        </w:r>
      </w:hyperlink>
      <w:r>
        <w:rPr>
          <w:rFonts w:ascii="Play" w:eastAsia="Play" w:hAnsi="Play" w:cs="Play"/>
          <w:color w:val="000000"/>
          <w:sz w:val="24"/>
          <w:szCs w:val="24"/>
        </w:rPr>
        <w:t>, edited by Rachele Antonini, Letizia Cirillo, Linda Rossato and Ira Torresi, 157–175. Amsterdam: John Benjamins.</w:t>
      </w:r>
    </w:p>
    <w:p w14:paraId="27D8D47A" w14:textId="77777777" w:rsidR="00001796" w:rsidRDefault="00000000">
      <w:pPr>
        <w:pBdr>
          <w:top w:val="nil"/>
          <w:left w:val="nil"/>
          <w:bottom w:val="nil"/>
          <w:right w:val="nil"/>
          <w:between w:val="nil"/>
        </w:pBdr>
        <w:spacing w:after="0" w:line="240" w:lineRule="auto"/>
        <w:jc w:val="both"/>
        <w:rPr>
          <w:rFonts w:ascii="Play" w:eastAsia="Play" w:hAnsi="Play" w:cs="Play"/>
          <w:color w:val="000000"/>
          <w:sz w:val="24"/>
          <w:szCs w:val="24"/>
        </w:rPr>
      </w:pPr>
      <w:r>
        <w:rPr>
          <w:rFonts w:ascii="Play" w:eastAsia="Play" w:hAnsi="Play" w:cs="Play"/>
          <w:color w:val="000000"/>
          <w:sz w:val="24"/>
          <w:szCs w:val="24"/>
        </w:rPr>
        <w:t xml:space="preserve">Ticca, Ann Claudia. 2017. “More than mere translators: The identities of lay interpreters in medical consultations.” In </w:t>
      </w:r>
      <w:r>
        <w:rPr>
          <w:rFonts w:ascii="Play" w:eastAsia="Play" w:hAnsi="Play" w:cs="Play"/>
          <w:i/>
          <w:iCs/>
          <w:color w:val="000000"/>
          <w:sz w:val="24"/>
          <w:szCs w:val="24"/>
        </w:rPr>
        <w:t>Non-professional Interpreting and Translation: State of the art and future of an emerging field of research</w:t>
      </w:r>
      <w:r>
        <w:rPr>
          <w:rFonts w:ascii="Play" w:eastAsia="Play" w:hAnsi="Play" w:cs="Play"/>
          <w:color w:val="000000"/>
          <w:sz w:val="24"/>
          <w:szCs w:val="24"/>
        </w:rPr>
        <w:t>, edited by Rachele Antonini, Letizia Cirillo, Linda Rossato and Ira Torresi, 107–130. Amsterdam: John Benjamins.</w:t>
      </w:r>
    </w:p>
    <w:p w14:paraId="445C0DF5" w14:textId="77777777" w:rsidR="00001796" w:rsidRDefault="00000000">
      <w:pPr>
        <w:pBdr>
          <w:top w:val="nil"/>
          <w:left w:val="nil"/>
          <w:bottom w:val="nil"/>
          <w:right w:val="nil"/>
          <w:between w:val="nil"/>
        </w:pBdr>
        <w:spacing w:before="280" w:line="240" w:lineRule="auto"/>
        <w:jc w:val="both"/>
        <w:rPr>
          <w:rFonts w:ascii="Play" w:eastAsia="Play" w:hAnsi="Play" w:cs="Play"/>
          <w:color w:val="000000"/>
          <w:sz w:val="24"/>
          <w:szCs w:val="24"/>
        </w:rPr>
      </w:pPr>
      <w:r>
        <w:rPr>
          <w:rFonts w:ascii="Play" w:eastAsia="Play" w:hAnsi="Play" w:cs="Play"/>
          <w:color w:val="000000"/>
          <w:sz w:val="24"/>
          <w:szCs w:val="24"/>
        </w:rPr>
        <w:t xml:space="preserve">Wolf, Michaela, ed. 2016. </w:t>
      </w:r>
      <w:r>
        <w:rPr>
          <w:rFonts w:ascii="Play" w:eastAsia="Play" w:hAnsi="Play" w:cs="Play"/>
          <w:i/>
          <w:iCs/>
          <w:color w:val="000000"/>
          <w:sz w:val="24"/>
          <w:szCs w:val="24"/>
        </w:rPr>
        <w:t>Interpreting in Nazi Concentration Camps</w:t>
      </w:r>
      <w:r>
        <w:rPr>
          <w:rFonts w:ascii="Play" w:eastAsia="Play" w:hAnsi="Play" w:cs="Play"/>
          <w:color w:val="000000"/>
          <w:sz w:val="24"/>
          <w:szCs w:val="24"/>
        </w:rPr>
        <w:t>. London and New York: Bloomsbury Academic.</w:t>
      </w:r>
    </w:p>
    <w:sectPr w:rsidR="000017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03A55A04-AE70-48F2-B195-1CDF13EC069C}"/>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7F64371C-4C5B-4DAB-AC4A-AAA580C900BE}"/>
    <w:embedBold r:id="rId3" w:fontKey="{0CF15082-024C-408A-90A0-7BC006508554}"/>
    <w:embedItalic r:id="rId4" w:fontKey="{09E95F0C-FCE9-4CCB-AB1E-7A356A9A7767}"/>
  </w:font>
  <w:font w:name="Play">
    <w:charset w:val="00"/>
    <w:family w:val="auto"/>
    <w:pitch w:val="default"/>
    <w:embedRegular r:id="rId5" w:fontKey="{FC7F6D43-5A8E-4090-AA3D-0434ED01DDFC}"/>
    <w:embedBold r:id="rId6" w:fontKey="{C908405A-320F-4384-B563-866C155CE440}"/>
    <w:embedItalic r:id="rId7" w:fontKey="{A9EE703F-D63C-4278-81A6-8CEA8E77C83C}"/>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8" w:fontKey="{86223764-2551-44A3-B793-3AF8EEEC4471}"/>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750D"/>
    <w:multiLevelType w:val="multilevel"/>
    <w:tmpl w:val="834C7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914626"/>
    <w:multiLevelType w:val="multilevel"/>
    <w:tmpl w:val="CCB25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32738">
    <w:abstractNumId w:val="1"/>
  </w:num>
  <w:num w:numId="2" w16cid:durableId="1383335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796"/>
    <w:rsid w:val="00001796"/>
    <w:rsid w:val="00221775"/>
    <w:rsid w:val="003454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38FC"/>
  <w15:docId w15:val="{D1FA230B-D2BC-4E38-8FDB-FFBA234C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360" w:after="80"/>
      <w:outlineLvl w:val="0"/>
    </w:pPr>
    <w:rPr>
      <w:rFonts w:ascii="Play" w:eastAsia="Play" w:hAnsi="Play" w:cs="Play"/>
      <w:color w:val="0F4761"/>
      <w:sz w:val="40"/>
      <w:szCs w:val="40"/>
    </w:rPr>
  </w:style>
  <w:style w:type="paragraph" w:styleId="Titolo2">
    <w:name w:val="heading 2"/>
    <w:basedOn w:val="Normale"/>
    <w:next w:val="Normale"/>
    <w:link w:val="Titolo2Carattere"/>
    <w:uiPriority w:val="9"/>
    <w:semiHidden/>
    <w:unhideWhenUsed/>
    <w:qFormat/>
    <w:pPr>
      <w:keepNext/>
      <w:keepLines/>
      <w:spacing w:before="160" w:after="80"/>
      <w:outlineLvl w:val="1"/>
    </w:pPr>
    <w:rPr>
      <w:rFonts w:ascii="Play" w:eastAsia="Play" w:hAnsi="Play" w:cs="Play"/>
      <w:color w:val="0F4761"/>
      <w:sz w:val="32"/>
      <w:szCs w:val="32"/>
    </w:rPr>
  </w:style>
  <w:style w:type="paragraph" w:styleId="Titolo3">
    <w:name w:val="heading 3"/>
    <w:basedOn w:val="Normale"/>
    <w:next w:val="Normale"/>
    <w:link w:val="Titolo3Carattere"/>
    <w:uiPriority w:val="9"/>
    <w:semiHidden/>
    <w:unhideWhenUsed/>
    <w:qFormat/>
    <w:pPr>
      <w:keepNext/>
      <w:keepLines/>
      <w:spacing w:before="160" w:after="80"/>
      <w:outlineLvl w:val="2"/>
    </w:pPr>
    <w:rPr>
      <w:color w:val="0F4761"/>
      <w:sz w:val="28"/>
      <w:szCs w:val="28"/>
    </w:rPr>
  </w:style>
  <w:style w:type="paragraph" w:styleId="Titolo4">
    <w:name w:val="heading 4"/>
    <w:basedOn w:val="Normale"/>
    <w:next w:val="Normale"/>
    <w:link w:val="Titolo4Carattere"/>
    <w:uiPriority w:val="9"/>
    <w:semiHidden/>
    <w:unhideWhenUsed/>
    <w:qFormat/>
    <w:pPr>
      <w:keepNext/>
      <w:keepLines/>
      <w:spacing w:before="80" w:after="40"/>
      <w:outlineLvl w:val="3"/>
    </w:pPr>
    <w:rPr>
      <w:i/>
      <w:iCs/>
      <w:color w:val="0F4761"/>
    </w:rPr>
  </w:style>
  <w:style w:type="paragraph" w:styleId="Titolo5">
    <w:name w:val="heading 5"/>
    <w:basedOn w:val="Normale"/>
    <w:next w:val="Normale"/>
    <w:link w:val="Titolo5Carattere"/>
    <w:uiPriority w:val="9"/>
    <w:semiHidden/>
    <w:unhideWhenUsed/>
    <w:qFormat/>
    <w:pPr>
      <w:keepNext/>
      <w:keepLines/>
      <w:spacing w:before="80" w:after="40"/>
      <w:outlineLvl w:val="4"/>
    </w:pPr>
    <w:rPr>
      <w:color w:val="0F4761"/>
    </w:rPr>
  </w:style>
  <w:style w:type="paragraph" w:styleId="Titolo6">
    <w:name w:val="heading 6"/>
    <w:basedOn w:val="Normale"/>
    <w:next w:val="Normale"/>
    <w:link w:val="Titolo6Carattere"/>
    <w:uiPriority w:val="9"/>
    <w:semiHidden/>
    <w:unhideWhenUsed/>
    <w:qFormat/>
    <w:pPr>
      <w:keepNext/>
      <w:keepLines/>
      <w:spacing w:before="40" w:after="0"/>
      <w:outlineLvl w:val="5"/>
    </w:pPr>
    <w:rPr>
      <w:i/>
      <w:iCs/>
      <w:color w:val="595959"/>
    </w:rPr>
  </w:style>
  <w:style w:type="paragraph" w:styleId="Titolo7">
    <w:name w:val="heading 7"/>
    <w:basedOn w:val="Normale"/>
    <w:next w:val="Normale"/>
    <w:link w:val="Titolo7Carattere"/>
    <w:uiPriority w:val="9"/>
    <w:semiHidden/>
    <w:unhideWhenUsed/>
    <w:qFormat/>
    <w:rsid w:val="009D22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D22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D22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link w:val="TitoloCarattere"/>
    <w:uiPriority w:val="10"/>
    <w:qFormat/>
    <w:pPr>
      <w:spacing w:after="80" w:line="240" w:lineRule="auto"/>
    </w:pPr>
    <w:rPr>
      <w:rFonts w:ascii="Play" w:eastAsia="Play" w:hAnsi="Play" w:cs="Play"/>
      <w:sz w:val="56"/>
      <w:szCs w:val="56"/>
    </w:rPr>
  </w:style>
  <w:style w:type="character" w:customStyle="1" w:styleId="Titolo1Carattere">
    <w:name w:val="Titolo 1 Carattere"/>
    <w:basedOn w:val="Carpredefinitoparagrafo"/>
    <w:link w:val="Titolo1"/>
    <w:uiPriority w:val="9"/>
    <w:rsid w:val="009D229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D229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D229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D229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D229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D22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D22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D22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D229A"/>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9D229A"/>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link w:val="Sottotitolo"/>
    <w:uiPriority w:val="11"/>
    <w:rsid w:val="009D22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D22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D229A"/>
    <w:rPr>
      <w:i/>
      <w:iCs/>
      <w:color w:val="404040" w:themeColor="text1" w:themeTint="BF"/>
    </w:rPr>
  </w:style>
  <w:style w:type="paragraph" w:styleId="Paragrafoelenco">
    <w:name w:val="List Paragraph"/>
    <w:basedOn w:val="Normale"/>
    <w:uiPriority w:val="34"/>
    <w:qFormat/>
    <w:rsid w:val="009D229A"/>
    <w:pPr>
      <w:ind w:left="720"/>
      <w:contextualSpacing/>
    </w:pPr>
  </w:style>
  <w:style w:type="character" w:styleId="Enfasiintensa">
    <w:name w:val="Intense Emphasis"/>
    <w:basedOn w:val="Carpredefinitoparagrafo"/>
    <w:uiPriority w:val="21"/>
    <w:qFormat/>
    <w:rsid w:val="009D229A"/>
    <w:rPr>
      <w:i/>
      <w:iCs/>
      <w:color w:val="0F4761" w:themeColor="accent1" w:themeShade="BF"/>
    </w:rPr>
  </w:style>
  <w:style w:type="paragraph" w:styleId="Citazioneintensa">
    <w:name w:val="Intense Quote"/>
    <w:basedOn w:val="Normale"/>
    <w:next w:val="Normale"/>
    <w:link w:val="CitazioneintensaCarattere"/>
    <w:uiPriority w:val="30"/>
    <w:qFormat/>
    <w:rsid w:val="009D2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D229A"/>
    <w:rPr>
      <w:i/>
      <w:iCs/>
      <w:color w:val="0F4761" w:themeColor="accent1" w:themeShade="BF"/>
    </w:rPr>
  </w:style>
  <w:style w:type="character" w:styleId="Riferimentointenso">
    <w:name w:val="Intense Reference"/>
    <w:basedOn w:val="Carpredefinitoparagrafo"/>
    <w:uiPriority w:val="32"/>
    <w:qFormat/>
    <w:rsid w:val="009D229A"/>
    <w:rPr>
      <w:b/>
      <w:bCs/>
      <w:smallCaps/>
      <w:color w:val="0F4761" w:themeColor="accent1" w:themeShade="BF"/>
      <w:spacing w:val="5"/>
    </w:rPr>
  </w:style>
  <w:style w:type="paragraph" w:styleId="NormaleWeb">
    <w:name w:val="Normal (Web)"/>
    <w:basedOn w:val="Normale"/>
    <w:uiPriority w:val="99"/>
    <w:unhideWhenUsed/>
    <w:rsid w:val="008B4E1C"/>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8B4E1C"/>
    <w:rPr>
      <w:b/>
      <w:bCs/>
    </w:rPr>
  </w:style>
  <w:style w:type="character" w:styleId="Enfasicorsivo">
    <w:name w:val="Emphasis"/>
    <w:basedOn w:val="Carpredefinitoparagrafo"/>
    <w:uiPriority w:val="20"/>
    <w:qFormat/>
    <w:rsid w:val="008B4E1C"/>
    <w:rPr>
      <w:i/>
      <w:iCs/>
    </w:rPr>
  </w:style>
  <w:style w:type="character" w:styleId="Collegamentoipertestuale">
    <w:name w:val="Hyperlink"/>
    <w:basedOn w:val="Carpredefinitoparagrafo"/>
    <w:uiPriority w:val="99"/>
    <w:unhideWhenUsed/>
    <w:rsid w:val="008B4E1C"/>
    <w:rPr>
      <w:color w:val="467886" w:themeColor="hyperlink"/>
      <w:u w:val="single"/>
    </w:rPr>
  </w:style>
  <w:style w:type="character" w:styleId="Menzionenonrisolta">
    <w:name w:val="Unresolved Mention"/>
    <w:basedOn w:val="Carpredefinitoparagrafo"/>
    <w:uiPriority w:val="99"/>
    <w:semiHidden/>
    <w:unhideWhenUsed/>
    <w:rsid w:val="0072100F"/>
    <w:rPr>
      <w:color w:val="605E5C"/>
      <w:shd w:val="clear" w:color="auto" w:fill="E1DFDD"/>
    </w:rPr>
  </w:style>
  <w:style w:type="paragraph" w:styleId="Sottotitolo">
    <w:name w:val="Subtitle"/>
    <w:basedOn w:val="Normale"/>
    <w:next w:val="Normale"/>
    <w:link w:val="SottotitoloCarattere"/>
    <w:uiPriority w:val="11"/>
    <w:qFormat/>
    <w:rPr>
      <w:color w:val="595959"/>
      <w:sz w:val="28"/>
      <w:szCs w:val="28"/>
    </w:rPr>
  </w:style>
  <w:style w:type="table" w:customStyle="1" w:styleId="a">
    <w:basedOn w:val="Tabellanormale"/>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chele.antonini@unibo.it" TargetMode="External"/><Relationship Id="rId13" Type="http://schemas.openxmlformats.org/officeDocument/2006/relationships/hyperlink" Target="https://www.taylorfrancis.com/books/mono/10.4324/9781315121871/moving-boundaries-translation-studies?refId=11f9131f-da32-4b37-87b8-91a33e26892f&amp;context=ubx" TargetMode="External"/><Relationship Id="rId3" Type="http://schemas.openxmlformats.org/officeDocument/2006/relationships/styles" Target="styles.xml"/><Relationship Id="rId7" Type="http://schemas.openxmlformats.org/officeDocument/2006/relationships/hyperlink" Target="mailto:aayyad@binghamton.edu" TargetMode="External"/><Relationship Id="rId12" Type="http://schemas.openxmlformats.org/officeDocument/2006/relationships/hyperlink" Target="https://www.taylorfrancis.com/search?contributorName=Pekka%20Kujam%C3%A4ki&amp;contributorRole=author&amp;redirectFromPDP=true&amp;context=ub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taylorfrancis.com/search?contributorName=Nadja%20Grbi%C4%87&amp;contributorRole=author&amp;redirectFromPDP=true&amp;context=ubx" TargetMode="External"/><Relationship Id="rId5" Type="http://schemas.openxmlformats.org/officeDocument/2006/relationships/webSettings" Target="webSettings.xml"/><Relationship Id="rId15" Type="http://schemas.openxmlformats.org/officeDocument/2006/relationships/hyperlink" Target="https://benjamins.com/catalog/btl.129" TargetMode="External"/><Relationship Id="rId10" Type="http://schemas.openxmlformats.org/officeDocument/2006/relationships/hyperlink" Target="https://doi.org/10.1080/14781700.2023.2258133" TargetMode="External"/><Relationship Id="rId4" Type="http://schemas.openxmlformats.org/officeDocument/2006/relationships/settings" Target="settings.xml"/><Relationship Id="rId9" Type="http://schemas.openxmlformats.org/officeDocument/2006/relationships/hyperlink" Target="https://jonpit.unibo.it/about/submissions" TargetMode="External"/><Relationship Id="rId14" Type="http://schemas.openxmlformats.org/officeDocument/2006/relationships/hyperlink" Target="https://benjamins.com/catalog/btl.129"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g9aY407cg76cz18y12gI9eR1A==">CgMxLjAyDmguMjBteW83NTNraG9kMg5oLjJveW9qd3lwenhiNzIOaC5hY2Q3b3lsdGpmcnYyDmgueG9ib3c2ZGkxeXl3Mg5oLnd1bjl6NG5kNHVsdzIOaC42dGxlMGFqaWc4dncyDmguOXNuZjgwcmlpd3BhMg5oLjFmaHg0eHVzeW03YzIOaC45YmdxaWg3cjA4aXEyDmguNzAxZWFldjA4ODJ0Mg5oLjc4bG44NDJwNnhpNTIOaC42dXkzaDhyNjAwcm0yDmgudmR5MDRzeDJyZWZpOAByITFZQlhJV1hhTkw3cnRCdWZoVzRjeDRaRFdhdVpjc3lK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1607</Words>
  <Characters>10565</Characters>
  <Application>Microsoft Office Word</Application>
  <DocSecurity>0</DocSecurity>
  <Lines>199</Lines>
  <Paragraphs>67</Paragraphs>
  <ScaleCrop>false</ScaleCrop>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Ayyad</dc:creator>
  <cp:lastModifiedBy>Martina Marafioti</cp:lastModifiedBy>
  <cp:revision>2</cp:revision>
  <dcterms:created xsi:type="dcterms:W3CDTF">2026-02-25T14:45:00Z</dcterms:created>
  <dcterms:modified xsi:type="dcterms:W3CDTF">2026-02-25T14:45:00Z</dcterms:modified>
</cp:coreProperties>
</file>